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3AB" w:rsidRDefault="003333AB" w:rsidP="003333AB">
      <w:pPr>
        <w:pStyle w:val="NoSpacing"/>
        <w:rPr>
          <w:rFonts w:ascii="Tahoma" w:hAnsi="Tahoma" w:cs="Tahoma"/>
          <w:sz w:val="28"/>
          <w:szCs w:val="28"/>
        </w:rPr>
      </w:pPr>
      <w:r>
        <w:rPr>
          <w:rFonts w:ascii="Tahoma" w:hAnsi="Tahoma" w:cs="Tahoma"/>
          <w:sz w:val="28"/>
          <w:szCs w:val="28"/>
        </w:rPr>
        <w:t>ROMANIA</w:t>
      </w:r>
    </w:p>
    <w:p w:rsidR="003333AB" w:rsidRDefault="003333AB" w:rsidP="003333AB">
      <w:pPr>
        <w:pStyle w:val="NoSpacing"/>
        <w:rPr>
          <w:rFonts w:ascii="Tahoma" w:hAnsi="Tahoma" w:cs="Tahoma"/>
          <w:sz w:val="28"/>
          <w:szCs w:val="28"/>
        </w:rPr>
      </w:pPr>
      <w:r>
        <w:rPr>
          <w:rFonts w:ascii="Tahoma" w:hAnsi="Tahoma" w:cs="Tahoma"/>
          <w:sz w:val="28"/>
          <w:szCs w:val="28"/>
        </w:rPr>
        <w:t>JUD</w:t>
      </w:r>
      <w:r w:rsidR="009D4D2F">
        <w:rPr>
          <w:rFonts w:ascii="Tahoma" w:hAnsi="Tahoma" w:cs="Tahoma"/>
          <w:sz w:val="28"/>
          <w:szCs w:val="28"/>
        </w:rPr>
        <w:t>EŢUL MUREŞ</w:t>
      </w:r>
      <w:r w:rsidR="009D4D2F">
        <w:rPr>
          <w:rFonts w:ascii="Tahoma" w:hAnsi="Tahoma" w:cs="Tahoma"/>
          <w:sz w:val="28"/>
          <w:szCs w:val="28"/>
        </w:rPr>
        <w:tab/>
      </w:r>
      <w:r w:rsidR="009D4D2F">
        <w:rPr>
          <w:rFonts w:ascii="Tahoma" w:hAnsi="Tahoma" w:cs="Tahoma"/>
          <w:sz w:val="28"/>
          <w:szCs w:val="28"/>
        </w:rPr>
        <w:tab/>
      </w:r>
      <w:r w:rsidR="009D4D2F">
        <w:rPr>
          <w:rFonts w:ascii="Tahoma" w:hAnsi="Tahoma" w:cs="Tahoma"/>
          <w:sz w:val="28"/>
          <w:szCs w:val="28"/>
        </w:rPr>
        <w:tab/>
      </w:r>
      <w:r w:rsidR="009D4D2F">
        <w:rPr>
          <w:rFonts w:ascii="Tahoma" w:hAnsi="Tahoma" w:cs="Tahoma"/>
          <w:sz w:val="28"/>
          <w:szCs w:val="28"/>
        </w:rPr>
        <w:tab/>
      </w:r>
      <w:r w:rsidR="009D4D2F">
        <w:rPr>
          <w:rFonts w:ascii="Tahoma" w:hAnsi="Tahoma" w:cs="Tahoma"/>
          <w:sz w:val="28"/>
          <w:szCs w:val="28"/>
        </w:rPr>
        <w:tab/>
      </w:r>
      <w:r w:rsidR="009D4D2F">
        <w:rPr>
          <w:rFonts w:ascii="Tahoma" w:hAnsi="Tahoma" w:cs="Tahoma"/>
          <w:sz w:val="28"/>
          <w:szCs w:val="28"/>
        </w:rPr>
        <w:tab/>
        <w:t xml:space="preserve">          </w:t>
      </w:r>
    </w:p>
    <w:p w:rsidR="009D4D2F" w:rsidRDefault="009D4D2F" w:rsidP="003333AB">
      <w:pPr>
        <w:pStyle w:val="NoSpacing"/>
        <w:rPr>
          <w:rFonts w:ascii="Tahoma" w:hAnsi="Tahoma" w:cs="Tahoma"/>
          <w:sz w:val="28"/>
          <w:szCs w:val="28"/>
        </w:rPr>
      </w:pPr>
      <w:r>
        <w:rPr>
          <w:rFonts w:ascii="Tahoma" w:hAnsi="Tahoma" w:cs="Tahoma"/>
          <w:sz w:val="28"/>
          <w:szCs w:val="28"/>
        </w:rPr>
        <w:t>COMUNA  ACĂȚARI</w:t>
      </w:r>
    </w:p>
    <w:p w:rsidR="009D4D2F" w:rsidRDefault="009D4D2F" w:rsidP="003333AB">
      <w:pPr>
        <w:pStyle w:val="NoSpacing"/>
        <w:rPr>
          <w:rFonts w:ascii="Tahoma" w:hAnsi="Tahoma" w:cs="Tahoma"/>
          <w:sz w:val="28"/>
          <w:szCs w:val="28"/>
        </w:rPr>
      </w:pPr>
      <w:r>
        <w:rPr>
          <w:rFonts w:ascii="Tahoma" w:hAnsi="Tahoma" w:cs="Tahoma"/>
          <w:sz w:val="28"/>
          <w:szCs w:val="28"/>
        </w:rPr>
        <w:t xml:space="preserve">CONSILIUL LOCAL   </w:t>
      </w:r>
    </w:p>
    <w:p w:rsidR="009D4D2F" w:rsidRDefault="009D4D2F" w:rsidP="003333AB">
      <w:pPr>
        <w:pStyle w:val="NoSpacing"/>
        <w:rPr>
          <w:rFonts w:ascii="Tahoma" w:hAnsi="Tahoma" w:cs="Tahoma"/>
          <w:sz w:val="28"/>
          <w:szCs w:val="28"/>
        </w:rPr>
      </w:pPr>
    </w:p>
    <w:p w:rsidR="003333AB" w:rsidRPr="009D4D2F" w:rsidRDefault="003333AB" w:rsidP="003333AB">
      <w:pPr>
        <w:pStyle w:val="NoSpacing"/>
        <w:jc w:val="center"/>
        <w:rPr>
          <w:rFonts w:ascii="Tahoma" w:hAnsi="Tahoma" w:cs="Tahoma"/>
          <w:sz w:val="28"/>
          <w:szCs w:val="28"/>
          <w:u w:val="single"/>
        </w:rPr>
      </w:pPr>
      <w:r w:rsidRPr="009D4D2F">
        <w:rPr>
          <w:rFonts w:ascii="Tahoma" w:hAnsi="Tahoma" w:cs="Tahoma"/>
          <w:sz w:val="28"/>
          <w:szCs w:val="28"/>
          <w:u w:val="single"/>
        </w:rPr>
        <w:t>H O T Ă R Â R E</w:t>
      </w:r>
      <w:r w:rsidR="009D4D2F" w:rsidRPr="009D4D2F">
        <w:rPr>
          <w:rFonts w:ascii="Tahoma" w:hAnsi="Tahoma" w:cs="Tahoma"/>
          <w:sz w:val="28"/>
          <w:szCs w:val="28"/>
          <w:u w:val="single"/>
        </w:rPr>
        <w:t xml:space="preserve"> A  NR.33</w:t>
      </w:r>
    </w:p>
    <w:p w:rsidR="009D4D2F" w:rsidRPr="009D4D2F" w:rsidRDefault="009D4D2F" w:rsidP="003333AB">
      <w:pPr>
        <w:pStyle w:val="NoSpacing"/>
        <w:jc w:val="center"/>
        <w:rPr>
          <w:rFonts w:ascii="Tahoma" w:hAnsi="Tahoma" w:cs="Tahoma"/>
          <w:sz w:val="28"/>
          <w:szCs w:val="28"/>
          <w:u w:val="single"/>
        </w:rPr>
      </w:pPr>
      <w:r w:rsidRPr="009D4D2F">
        <w:rPr>
          <w:rFonts w:ascii="Tahoma" w:hAnsi="Tahoma" w:cs="Tahoma"/>
          <w:sz w:val="28"/>
          <w:szCs w:val="28"/>
          <w:u w:val="single"/>
        </w:rPr>
        <w:t>14  august 2018</w:t>
      </w:r>
    </w:p>
    <w:p w:rsidR="003333AB" w:rsidRPr="009D4D2F" w:rsidRDefault="003333AB" w:rsidP="003333AB">
      <w:pPr>
        <w:pStyle w:val="NoSpacing"/>
        <w:jc w:val="center"/>
        <w:rPr>
          <w:rFonts w:ascii="Tahoma" w:hAnsi="Tahoma" w:cs="Tahoma"/>
          <w:sz w:val="28"/>
          <w:szCs w:val="28"/>
        </w:rPr>
      </w:pPr>
      <w:r w:rsidRPr="009D4D2F">
        <w:rPr>
          <w:rFonts w:ascii="Tahoma" w:hAnsi="Tahoma" w:cs="Tahoma"/>
          <w:sz w:val="28"/>
          <w:szCs w:val="28"/>
        </w:rPr>
        <w:t>privind aprobarea proiectului și a cheltuielilor legate de proiect și de aprobare  a acordului de parteneriat.</w:t>
      </w:r>
    </w:p>
    <w:p w:rsidR="003333AB" w:rsidRDefault="003333AB" w:rsidP="00532AD0">
      <w:pPr>
        <w:rPr>
          <w:b/>
          <w:sz w:val="24"/>
        </w:rPr>
      </w:pPr>
    </w:p>
    <w:p w:rsidR="003333AB" w:rsidRDefault="003333AB" w:rsidP="009D4D2F">
      <w:pPr>
        <w:ind w:firstLine="720"/>
        <w:rPr>
          <w:b/>
          <w:sz w:val="24"/>
        </w:rPr>
      </w:pPr>
      <w:r>
        <w:rPr>
          <w:b/>
          <w:sz w:val="24"/>
        </w:rPr>
        <w:t>PROIECT „CONSTRUCȚII GRĂDINIȚE REGIUNEA CENTRU” cod Mysmis 125151</w:t>
      </w:r>
    </w:p>
    <w:p w:rsidR="003333AB" w:rsidRDefault="003333AB" w:rsidP="009D4D2F">
      <w:pPr>
        <w:ind w:firstLine="720"/>
        <w:rPr>
          <w:b/>
          <w:sz w:val="24"/>
        </w:rPr>
      </w:pPr>
      <w:r>
        <w:rPr>
          <w:b/>
          <w:sz w:val="24"/>
        </w:rPr>
        <w:t>Axa prioritară 10 Îmbunătățirea infrastructurii educaționale</w:t>
      </w:r>
    </w:p>
    <w:p w:rsidR="003333AB" w:rsidRDefault="003333AB" w:rsidP="009D4D2F">
      <w:pPr>
        <w:ind w:firstLine="720"/>
        <w:rPr>
          <w:b/>
          <w:sz w:val="24"/>
        </w:rPr>
      </w:pPr>
      <w:r>
        <w:rPr>
          <w:b/>
          <w:sz w:val="24"/>
        </w:rPr>
        <w:t xml:space="preserve">Prioritatea de Investitii 10.1 Investițiile în educație, și  formare, inclusiv în formare profesională, pentru dobândirea de competențe și învățare pe tot parcursul vieții prin dezvoltarea infrastructurilor de educație și formare </w:t>
      </w:r>
    </w:p>
    <w:p w:rsidR="003333AB" w:rsidRDefault="003333AB" w:rsidP="009D4D2F">
      <w:pPr>
        <w:ind w:firstLine="720"/>
        <w:rPr>
          <w:b/>
          <w:sz w:val="24"/>
        </w:rPr>
      </w:pPr>
      <w:r>
        <w:rPr>
          <w:b/>
          <w:sz w:val="24"/>
        </w:rPr>
        <w:t>Apel de proiecte nr . POR/10/2018/10/10.1a/APC/7REGIUNI</w:t>
      </w:r>
    </w:p>
    <w:p w:rsidR="003333AB" w:rsidRDefault="003333AB" w:rsidP="003333AB">
      <w:pPr>
        <w:rPr>
          <w:b/>
          <w:sz w:val="24"/>
        </w:rPr>
      </w:pPr>
    </w:p>
    <w:p w:rsidR="003333AB" w:rsidRDefault="003333AB" w:rsidP="003333AB">
      <w:pPr>
        <w:jc w:val="both"/>
        <w:rPr>
          <w:sz w:val="24"/>
        </w:rPr>
      </w:pPr>
      <w:r>
        <w:rPr>
          <w:b/>
          <w:sz w:val="24"/>
        </w:rPr>
        <w:tab/>
      </w:r>
      <w:r w:rsidR="009D4D2F">
        <w:rPr>
          <w:sz w:val="24"/>
        </w:rPr>
        <w:t>Consiliul local al comunei Acățari</w:t>
      </w:r>
      <w:r>
        <w:rPr>
          <w:sz w:val="24"/>
        </w:rPr>
        <w:t>,</w:t>
      </w:r>
    </w:p>
    <w:p w:rsidR="003333AB" w:rsidRDefault="003333AB" w:rsidP="003333AB">
      <w:pPr>
        <w:jc w:val="both"/>
        <w:rPr>
          <w:sz w:val="24"/>
        </w:rPr>
      </w:pPr>
      <w:r>
        <w:rPr>
          <w:b/>
          <w:sz w:val="24"/>
        </w:rPr>
        <w:tab/>
      </w:r>
      <w:r>
        <w:rPr>
          <w:sz w:val="24"/>
        </w:rPr>
        <w:t>Având în vedere expunerea de motive a Prim</w:t>
      </w:r>
      <w:r w:rsidR="009D4D2F">
        <w:rPr>
          <w:sz w:val="24"/>
        </w:rPr>
        <w:t xml:space="preserve">arului comunei Acățari nr.5042 </w:t>
      </w:r>
      <w:r>
        <w:rPr>
          <w:sz w:val="24"/>
        </w:rPr>
        <w:t>/2018 , rapo</w:t>
      </w:r>
      <w:r w:rsidR="009D4D2F">
        <w:rPr>
          <w:sz w:val="24"/>
        </w:rPr>
        <w:t>rtul  de specialitate  nr. 5043</w:t>
      </w:r>
      <w:r>
        <w:rPr>
          <w:sz w:val="24"/>
        </w:rPr>
        <w:t>/2018 ,</w:t>
      </w:r>
    </w:p>
    <w:p w:rsidR="0010448D" w:rsidRDefault="0010448D" w:rsidP="003333AB">
      <w:pPr>
        <w:jc w:val="both"/>
        <w:rPr>
          <w:sz w:val="24"/>
        </w:rPr>
      </w:pPr>
      <w:r>
        <w:rPr>
          <w:sz w:val="24"/>
        </w:rPr>
        <w:tab/>
        <w:t>Văzând prevederile Ordonanţei de urgenţă a Guvernului nr. 40/2015 privind gestionarea financiară a fondurilor europene pentru perioada de programare 2014-2020 și ale HG nr.93/2016 privind Normele  metodologice de aplicare a prevederilor Ordonanţei de urgenţă a Guvernului nr. 40/2015 privind gestionarea financiară a fondurilor europene pentru perioada de programare 2014-2020,</w:t>
      </w:r>
    </w:p>
    <w:p w:rsidR="003333AB" w:rsidRDefault="0010448D" w:rsidP="003333AB">
      <w:pPr>
        <w:jc w:val="both"/>
        <w:rPr>
          <w:sz w:val="24"/>
        </w:rPr>
      </w:pPr>
      <w:r>
        <w:rPr>
          <w:sz w:val="24"/>
        </w:rPr>
        <w:tab/>
        <w:t xml:space="preserve">Conform prevederilor </w:t>
      </w:r>
      <w:r w:rsidR="003333AB">
        <w:rPr>
          <w:sz w:val="24"/>
        </w:rPr>
        <w:t xml:space="preserve"> HG nr.759/2007,privind regurile de eligibilitate a cheltuielilor efectuate în cadrul operațiunilor finanțate prin programele operaționale,</w:t>
      </w:r>
    </w:p>
    <w:p w:rsidR="003333AB" w:rsidRDefault="003333AB" w:rsidP="003333AB">
      <w:pPr>
        <w:jc w:val="both"/>
        <w:rPr>
          <w:sz w:val="24"/>
        </w:rPr>
      </w:pPr>
      <w:r>
        <w:rPr>
          <w:sz w:val="24"/>
        </w:rPr>
        <w:tab/>
        <w:t>Ținând cont de prevederile Legii nr.53/2006,privind finanțele publice locale,cu modificările și completările ulterioare,</w:t>
      </w:r>
    </w:p>
    <w:p w:rsidR="003333AB" w:rsidRDefault="003333AB" w:rsidP="0053674B">
      <w:pPr>
        <w:ind w:firstLine="720"/>
        <w:jc w:val="both"/>
        <w:rPr>
          <w:sz w:val="24"/>
        </w:rPr>
      </w:pPr>
      <w:r>
        <w:rPr>
          <w:sz w:val="24"/>
        </w:rPr>
        <w:t>În conformitate cu  prevederile  art.7,alin.(13)  din Legea nr. 52/2003 privind transparența decizională în administrația publică,republicată,cu modifică</w:t>
      </w:r>
      <w:r w:rsidR="0053674B">
        <w:rPr>
          <w:sz w:val="24"/>
        </w:rPr>
        <w:t>rile și completările ulterioare,</w:t>
      </w:r>
    </w:p>
    <w:p w:rsidR="0053674B" w:rsidRPr="0053674B" w:rsidRDefault="0053674B" w:rsidP="0053674B">
      <w:pPr>
        <w:autoSpaceDE w:val="0"/>
        <w:autoSpaceDN w:val="0"/>
        <w:adjustRightInd w:val="0"/>
        <w:ind w:firstLine="720"/>
        <w:jc w:val="both"/>
        <w:rPr>
          <w:sz w:val="24"/>
        </w:rPr>
      </w:pPr>
      <w:r w:rsidRPr="0053674B">
        <w:rPr>
          <w:sz w:val="24"/>
        </w:rPr>
        <w:t>În temeiul dispoziţiilor art.45, alin.(1) si ale art.115, alin.(1), lit. b) din Legea administraţiei publice locale nr.215/2001, republicată, cu modificările si completările ulterioare,</w:t>
      </w:r>
    </w:p>
    <w:p w:rsidR="0053674B" w:rsidRPr="0053674B" w:rsidRDefault="0053674B" w:rsidP="0053674B">
      <w:pPr>
        <w:autoSpaceDE w:val="0"/>
        <w:autoSpaceDN w:val="0"/>
        <w:adjustRightInd w:val="0"/>
        <w:jc w:val="both"/>
        <w:rPr>
          <w:rFonts w:ascii="Arial Narrow" w:hAnsi="Arial Narrow"/>
          <w:sz w:val="24"/>
        </w:rPr>
      </w:pPr>
    </w:p>
    <w:p w:rsidR="003333AB" w:rsidRPr="00532AD0" w:rsidRDefault="0053674B" w:rsidP="00532AD0">
      <w:pPr>
        <w:autoSpaceDE w:val="0"/>
        <w:autoSpaceDN w:val="0"/>
        <w:adjustRightInd w:val="0"/>
        <w:ind w:left="720" w:firstLine="720"/>
        <w:rPr>
          <w:bCs/>
          <w:sz w:val="24"/>
        </w:rPr>
      </w:pPr>
      <w:r w:rsidRPr="0053674B">
        <w:rPr>
          <w:bCs/>
          <w:sz w:val="24"/>
        </w:rPr>
        <w:t>H o t ă r â ș t e:</w:t>
      </w:r>
    </w:p>
    <w:p w:rsidR="003333AB" w:rsidRDefault="003333AB" w:rsidP="003333AB">
      <w:pPr>
        <w:jc w:val="both"/>
        <w:rPr>
          <w:b/>
          <w:sz w:val="24"/>
        </w:rPr>
      </w:pPr>
    </w:p>
    <w:p w:rsidR="0053674B" w:rsidRDefault="003333AB" w:rsidP="00532AD0">
      <w:pPr>
        <w:ind w:firstLine="720"/>
        <w:jc w:val="both"/>
        <w:rPr>
          <w:sz w:val="24"/>
        </w:rPr>
      </w:pPr>
      <w:r>
        <w:rPr>
          <w:sz w:val="24"/>
        </w:rPr>
        <w:t xml:space="preserve">ART 1. Se aprobă proiectul </w:t>
      </w:r>
      <w:r>
        <w:rPr>
          <w:b/>
          <w:sz w:val="24"/>
        </w:rPr>
        <w:t xml:space="preserve">„CONSTRUCȚII GRĂDINIȚE REGIUNEA CENTRU” </w:t>
      </w:r>
      <w:r>
        <w:rPr>
          <w:sz w:val="24"/>
        </w:rPr>
        <w:t>în vederea finanțării acestuia în cadrul Programului Operațional Regional 2014-2020, Axa prioritară 10 Îmbunătățirea infrastructurii educaționale, propritatea de investiții 10.1 Investițiile în educație, și  formare, inclusiv în formare profesională, pentru dobândirea de competențe și învățare pe tot parcursul vieții prin dezvoltarea infrastructurilor de educație și formare  nr. apelului de proiecte nr . POR/10/2018/10/10.1a/APC/7REGIUNI</w:t>
      </w:r>
    </w:p>
    <w:p w:rsidR="00532AD0" w:rsidRDefault="00532AD0" w:rsidP="00532AD0">
      <w:pPr>
        <w:ind w:firstLine="720"/>
        <w:jc w:val="both"/>
        <w:rPr>
          <w:sz w:val="24"/>
        </w:rPr>
      </w:pPr>
    </w:p>
    <w:p w:rsidR="003333AB" w:rsidRDefault="003333AB" w:rsidP="00754494">
      <w:pPr>
        <w:ind w:firstLine="720"/>
        <w:jc w:val="both"/>
        <w:rPr>
          <w:sz w:val="24"/>
        </w:rPr>
      </w:pPr>
      <w:r>
        <w:rPr>
          <w:sz w:val="24"/>
        </w:rPr>
        <w:t xml:space="preserve">ART 2. Se aprobă acordul de parteneriat între MINISTERUL EDUCAȚIEI NAȚIONALE - U.M.P.M.R.S.U - lider de proiect şi </w:t>
      </w:r>
      <w:r>
        <w:rPr>
          <w:noProof/>
          <w:sz w:val="24"/>
        </w:rPr>
        <w:t>Comuna Acățari</w:t>
      </w:r>
      <w:r>
        <w:rPr>
          <w:sz w:val="24"/>
        </w:rPr>
        <w:t xml:space="preserve"> – partener, în vederea implementării în comun a proiectului, conform Acordului de parteneriat care face parte integrantă din prezenta hotărâre.</w:t>
      </w:r>
    </w:p>
    <w:p w:rsidR="003333AB" w:rsidRDefault="003333AB" w:rsidP="003333AB">
      <w:pPr>
        <w:jc w:val="both"/>
        <w:rPr>
          <w:sz w:val="24"/>
        </w:rPr>
      </w:pPr>
    </w:p>
    <w:p w:rsidR="003333AB" w:rsidRDefault="003333AB" w:rsidP="00754494">
      <w:pPr>
        <w:ind w:firstLine="720"/>
        <w:jc w:val="both"/>
        <w:rPr>
          <w:sz w:val="24"/>
        </w:rPr>
      </w:pPr>
      <w:r>
        <w:rPr>
          <w:sz w:val="24"/>
        </w:rPr>
        <w:t>ART 3. Se aprobă valoarea totală a Obiectivului "</w:t>
      </w:r>
      <w:r>
        <w:rPr>
          <w:noProof/>
          <w:sz w:val="24"/>
        </w:rPr>
        <w:t>Grădiniţa cu program normal Roteni, Acăţari</w:t>
      </w:r>
      <w:r>
        <w:rPr>
          <w:sz w:val="24"/>
        </w:rPr>
        <w:t xml:space="preserve">, județ </w:t>
      </w:r>
      <w:r>
        <w:rPr>
          <w:noProof/>
          <w:sz w:val="24"/>
        </w:rPr>
        <w:t>Mureş</w:t>
      </w:r>
      <w:r>
        <w:rPr>
          <w:sz w:val="24"/>
        </w:rPr>
        <w:t xml:space="preserve">", în cuantum de </w:t>
      </w:r>
      <w:r>
        <w:rPr>
          <w:noProof/>
          <w:sz w:val="24"/>
        </w:rPr>
        <w:t>40577,91</w:t>
      </w:r>
      <w:r>
        <w:rPr>
          <w:sz w:val="24"/>
        </w:rPr>
        <w:t xml:space="preserve"> lei (inclusiv TVA) – aferentă activităților derulate de </w:t>
      </w:r>
      <w:r>
        <w:rPr>
          <w:noProof/>
          <w:sz w:val="24"/>
        </w:rPr>
        <w:t>Comuna Acățari</w:t>
      </w:r>
      <w:r>
        <w:rPr>
          <w:sz w:val="24"/>
        </w:rPr>
        <w:t>.</w:t>
      </w:r>
    </w:p>
    <w:p w:rsidR="003333AB" w:rsidRDefault="003333AB" w:rsidP="003333AB">
      <w:pPr>
        <w:jc w:val="both"/>
        <w:rPr>
          <w:sz w:val="24"/>
        </w:rPr>
      </w:pPr>
    </w:p>
    <w:p w:rsidR="003333AB" w:rsidRDefault="003333AB" w:rsidP="00754494">
      <w:pPr>
        <w:ind w:firstLine="720"/>
        <w:jc w:val="both"/>
        <w:rPr>
          <w:sz w:val="24"/>
        </w:rPr>
      </w:pPr>
      <w:r>
        <w:rPr>
          <w:sz w:val="24"/>
        </w:rPr>
        <w:t xml:space="preserve">ART 4. Se aprobă contribuția proprie în proiect a </w:t>
      </w:r>
      <w:r>
        <w:rPr>
          <w:noProof/>
          <w:sz w:val="24"/>
        </w:rPr>
        <w:t>Comuna Acățari</w:t>
      </w:r>
      <w:r>
        <w:rPr>
          <w:sz w:val="24"/>
        </w:rPr>
        <w:t xml:space="preserve">, reprezentând achitarea tuturor cheltuielilor neeligibile ale proiectului, cât și contribuția de </w:t>
      </w:r>
      <w:r>
        <w:rPr>
          <w:noProof/>
          <w:sz w:val="24"/>
        </w:rPr>
        <w:t>2</w:t>
      </w:r>
      <w:r>
        <w:rPr>
          <w:sz w:val="24"/>
        </w:rPr>
        <w:t xml:space="preserve">% din valoarea eligibilă a proiectului, în cuantum de </w:t>
      </w:r>
      <w:r>
        <w:rPr>
          <w:noProof/>
          <w:sz w:val="24"/>
        </w:rPr>
        <w:t>811,56</w:t>
      </w:r>
      <w:r>
        <w:rPr>
          <w:sz w:val="24"/>
        </w:rPr>
        <w:t xml:space="preserve"> lei, reprezentând cofinanțarea Obiectivului "</w:t>
      </w:r>
      <w:r>
        <w:rPr>
          <w:noProof/>
          <w:sz w:val="24"/>
        </w:rPr>
        <w:t>Grădiniţa cu program normal Roteni, Acăţari</w:t>
      </w:r>
      <w:r>
        <w:rPr>
          <w:sz w:val="24"/>
        </w:rPr>
        <w:t xml:space="preserve">, județ </w:t>
      </w:r>
      <w:r>
        <w:rPr>
          <w:noProof/>
          <w:sz w:val="24"/>
        </w:rPr>
        <w:t>Mureş</w:t>
      </w:r>
      <w:r>
        <w:rPr>
          <w:sz w:val="24"/>
        </w:rPr>
        <w:t xml:space="preserve">" cuprins în proiectul </w:t>
      </w:r>
      <w:r>
        <w:rPr>
          <w:b/>
          <w:sz w:val="24"/>
        </w:rPr>
        <w:t>„CONSTRUCȚII GRĂDINIȚE REGIUNEA CENTRU” – cod Mysmis 125151</w:t>
      </w:r>
      <w:r>
        <w:rPr>
          <w:sz w:val="24"/>
        </w:rPr>
        <w:t>.</w:t>
      </w:r>
    </w:p>
    <w:p w:rsidR="003333AB" w:rsidRDefault="003333AB" w:rsidP="003333AB">
      <w:pPr>
        <w:jc w:val="both"/>
        <w:rPr>
          <w:sz w:val="24"/>
        </w:rPr>
      </w:pPr>
    </w:p>
    <w:p w:rsidR="003333AB" w:rsidRDefault="003333AB" w:rsidP="00754494">
      <w:pPr>
        <w:ind w:firstLine="720"/>
        <w:jc w:val="both"/>
        <w:rPr>
          <w:sz w:val="24"/>
        </w:rPr>
      </w:pPr>
      <w:r>
        <w:rPr>
          <w:sz w:val="24"/>
        </w:rPr>
        <w:t>ART 5. Sumele reprezentând cheltuieli conexe ce pot apărea pe durata realizării Obiectivului "</w:t>
      </w:r>
      <w:r>
        <w:rPr>
          <w:noProof/>
          <w:sz w:val="24"/>
        </w:rPr>
        <w:t>Grădiniţa cu program normal Roteni, Acăţari</w:t>
      </w:r>
      <w:r>
        <w:rPr>
          <w:sz w:val="24"/>
        </w:rPr>
        <w:t xml:space="preserve">, județ </w:t>
      </w:r>
      <w:r>
        <w:rPr>
          <w:noProof/>
          <w:sz w:val="24"/>
        </w:rPr>
        <w:t>Mureş</w:t>
      </w:r>
      <w:r>
        <w:rPr>
          <w:sz w:val="24"/>
        </w:rPr>
        <w:t xml:space="preserve">", pentru implementarea proiectului </w:t>
      </w:r>
      <w:r>
        <w:rPr>
          <w:b/>
          <w:sz w:val="24"/>
        </w:rPr>
        <w:t>„CONSTRUCȚII GRĂDINIȚE REGIUNEA CENTRU” – cod Mysmis 125151</w:t>
      </w:r>
      <w:r>
        <w:rPr>
          <w:sz w:val="24"/>
        </w:rPr>
        <w:t>,  în condiții optime, se vor asigura din bugetul local.</w:t>
      </w:r>
    </w:p>
    <w:p w:rsidR="003333AB" w:rsidRDefault="003333AB" w:rsidP="003333AB">
      <w:pPr>
        <w:jc w:val="both"/>
        <w:rPr>
          <w:sz w:val="24"/>
        </w:rPr>
      </w:pPr>
    </w:p>
    <w:p w:rsidR="003333AB" w:rsidRDefault="003333AB" w:rsidP="00754494">
      <w:pPr>
        <w:ind w:firstLine="720"/>
        <w:jc w:val="both"/>
        <w:rPr>
          <w:sz w:val="24"/>
        </w:rPr>
      </w:pPr>
      <w:r>
        <w:rPr>
          <w:sz w:val="24"/>
        </w:rPr>
        <w:t>ART 6. Se vor asigura toate resursele financiare necesare realizării Obiectivului "</w:t>
      </w:r>
      <w:r>
        <w:rPr>
          <w:noProof/>
          <w:sz w:val="24"/>
        </w:rPr>
        <w:t>Grădiniţa cu program normal Roteni, Acăţari</w:t>
      </w:r>
      <w:r>
        <w:rPr>
          <w:sz w:val="24"/>
        </w:rPr>
        <w:t xml:space="preserve">, județ </w:t>
      </w:r>
      <w:r>
        <w:rPr>
          <w:noProof/>
          <w:sz w:val="24"/>
        </w:rPr>
        <w:t>Mureş</w:t>
      </w:r>
      <w:r>
        <w:rPr>
          <w:sz w:val="24"/>
        </w:rPr>
        <w:t xml:space="preserve">" în vederea implementării </w:t>
      </w:r>
      <w:r>
        <w:rPr>
          <w:b/>
          <w:sz w:val="24"/>
        </w:rPr>
        <w:t xml:space="preserve">„CONSTRUCȚII GRĂDINIȚE REGIUNEA CENTRU” – cod Mysmis 125151 </w:t>
      </w:r>
      <w:r>
        <w:rPr>
          <w:sz w:val="24"/>
        </w:rPr>
        <w:t>în condițiile rambursării/ decontării ulterioare a cheltuielilor din instrumente structurale.</w:t>
      </w:r>
    </w:p>
    <w:p w:rsidR="003333AB" w:rsidRDefault="003333AB" w:rsidP="003333AB">
      <w:pPr>
        <w:jc w:val="both"/>
        <w:rPr>
          <w:sz w:val="24"/>
        </w:rPr>
      </w:pPr>
    </w:p>
    <w:p w:rsidR="003333AB" w:rsidRDefault="003333AB" w:rsidP="00754494">
      <w:pPr>
        <w:ind w:firstLine="720"/>
        <w:jc w:val="both"/>
        <w:rPr>
          <w:sz w:val="24"/>
        </w:rPr>
      </w:pPr>
      <w:r>
        <w:rPr>
          <w:sz w:val="24"/>
        </w:rPr>
        <w:t xml:space="preserve">ART 7. Se împuternicește domnul  Osvath Csaba,Primarul comunei Acățari să semeneze toate actele necesare şi contractul de finanţare în numele </w:t>
      </w:r>
      <w:r>
        <w:rPr>
          <w:noProof/>
          <w:sz w:val="24"/>
        </w:rPr>
        <w:t>Comuna Acățari</w:t>
      </w:r>
      <w:r>
        <w:rPr>
          <w:sz w:val="24"/>
        </w:rPr>
        <w:t>, daca este cazul.</w:t>
      </w:r>
    </w:p>
    <w:p w:rsidR="003333AB" w:rsidRDefault="003333AB" w:rsidP="003333AB">
      <w:pPr>
        <w:jc w:val="both"/>
        <w:rPr>
          <w:sz w:val="24"/>
        </w:rPr>
      </w:pPr>
    </w:p>
    <w:p w:rsidR="003333AB" w:rsidRDefault="003333AB" w:rsidP="003333AB">
      <w:pPr>
        <w:ind w:left="360"/>
        <w:jc w:val="right"/>
      </w:pPr>
    </w:p>
    <w:p w:rsidR="003333AB" w:rsidRDefault="003333AB" w:rsidP="003333AB">
      <w:pPr>
        <w:jc w:val="both"/>
        <w:rPr>
          <w:b/>
          <w:szCs w:val="22"/>
        </w:rPr>
      </w:pPr>
    </w:p>
    <w:p w:rsidR="00754494" w:rsidRDefault="003333AB" w:rsidP="00754494">
      <w:pPr>
        <w:pStyle w:val="NoSpacing"/>
        <w:rPr>
          <w:sz w:val="28"/>
          <w:szCs w:val="28"/>
        </w:rPr>
      </w:pPr>
      <w:r>
        <w:tab/>
      </w:r>
      <w:r w:rsidR="00754494">
        <w:rPr>
          <w:sz w:val="28"/>
          <w:szCs w:val="28"/>
        </w:rPr>
        <w:t xml:space="preserve">            Preşedinte de şedinţă,</w:t>
      </w:r>
    </w:p>
    <w:p w:rsidR="00754494" w:rsidRDefault="00532AD0" w:rsidP="00754494">
      <w:pPr>
        <w:pStyle w:val="NoSpacing"/>
        <w:rPr>
          <w:sz w:val="28"/>
          <w:szCs w:val="28"/>
        </w:rPr>
      </w:pPr>
      <w:r>
        <w:rPr>
          <w:sz w:val="28"/>
          <w:szCs w:val="28"/>
        </w:rPr>
        <w:tab/>
        <w:t xml:space="preserve">              Veres G</w:t>
      </w:r>
      <w:r>
        <w:rPr>
          <w:sz w:val="28"/>
          <w:szCs w:val="28"/>
          <w:lang w:val="hu-HU"/>
        </w:rPr>
        <w:t>á</w:t>
      </w:r>
      <w:r w:rsidR="00754494">
        <w:rPr>
          <w:sz w:val="28"/>
          <w:szCs w:val="28"/>
        </w:rPr>
        <w:t>spar Ervin</w:t>
      </w:r>
      <w:r w:rsidR="00754494">
        <w:rPr>
          <w:sz w:val="28"/>
          <w:szCs w:val="28"/>
        </w:rPr>
        <w:tab/>
      </w:r>
      <w:r w:rsidR="00754494">
        <w:rPr>
          <w:sz w:val="28"/>
          <w:szCs w:val="28"/>
        </w:rPr>
        <w:tab/>
      </w:r>
      <w:r w:rsidR="00754494">
        <w:rPr>
          <w:sz w:val="28"/>
          <w:szCs w:val="28"/>
        </w:rPr>
        <w:tab/>
      </w:r>
      <w:r w:rsidR="00754494">
        <w:rPr>
          <w:sz w:val="28"/>
          <w:szCs w:val="28"/>
        </w:rPr>
        <w:tab/>
      </w:r>
    </w:p>
    <w:p w:rsidR="00754494" w:rsidRDefault="00754494" w:rsidP="00754494">
      <w:pPr>
        <w:pStyle w:val="NoSpacing"/>
        <w:ind w:left="5760" w:firstLine="720"/>
        <w:rPr>
          <w:sz w:val="28"/>
          <w:szCs w:val="28"/>
        </w:rPr>
      </w:pPr>
      <w:r>
        <w:rPr>
          <w:sz w:val="28"/>
          <w:szCs w:val="28"/>
        </w:rPr>
        <w:t>Avizat ptr.legalitate,</w:t>
      </w:r>
    </w:p>
    <w:p w:rsidR="00754494" w:rsidRDefault="00754494" w:rsidP="00754494">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Secretar,</w:t>
      </w:r>
    </w:p>
    <w:p w:rsidR="00754494" w:rsidRDefault="00754494" w:rsidP="00754494">
      <w:pPr>
        <w:autoSpaceDE w:val="0"/>
        <w:autoSpaceDN w:val="0"/>
        <w:adjustRightInd w:val="0"/>
        <w:jc w:val="both"/>
        <w:rPr>
          <w:color w:val="000000"/>
          <w:sz w:val="28"/>
          <w:szCs w:val="28"/>
        </w:rPr>
      </w:pPr>
      <w:r>
        <w:rPr>
          <w:sz w:val="28"/>
          <w:szCs w:val="28"/>
        </w:rPr>
        <w:tab/>
      </w:r>
      <w:r>
        <w:rPr>
          <w:sz w:val="28"/>
          <w:szCs w:val="28"/>
        </w:rPr>
        <w:tab/>
      </w:r>
      <w:r w:rsidR="002D1BD5">
        <w:rPr>
          <w:sz w:val="28"/>
          <w:szCs w:val="28"/>
        </w:rPr>
        <w:tab/>
      </w:r>
      <w:r w:rsidR="002D1BD5">
        <w:rPr>
          <w:sz w:val="28"/>
          <w:szCs w:val="28"/>
        </w:rPr>
        <w:tab/>
      </w:r>
      <w:r w:rsidR="002D1BD5">
        <w:rPr>
          <w:sz w:val="28"/>
          <w:szCs w:val="28"/>
        </w:rPr>
        <w:tab/>
      </w:r>
      <w:r w:rsidR="002D1BD5">
        <w:rPr>
          <w:sz w:val="28"/>
          <w:szCs w:val="28"/>
        </w:rPr>
        <w:tab/>
        <w:t xml:space="preserve">                          </w:t>
      </w:r>
      <w:bookmarkStart w:id="0" w:name="_GoBack"/>
      <w:bookmarkEnd w:id="0"/>
      <w:r>
        <w:rPr>
          <w:sz w:val="28"/>
          <w:szCs w:val="28"/>
        </w:rPr>
        <w:t xml:space="preserve">    Józsa Ferenc</w:t>
      </w:r>
    </w:p>
    <w:p w:rsidR="003333AB" w:rsidRDefault="003333AB" w:rsidP="0053674B">
      <w:pPr>
        <w:jc w:val="both"/>
        <w:rPr>
          <w:rFonts w:asciiTheme="minorHAnsi" w:hAnsiTheme="minorHAnsi"/>
          <w:sz w:val="28"/>
          <w:szCs w:val="28"/>
        </w:rPr>
      </w:pPr>
      <w:r>
        <w:rPr>
          <w:rFonts w:asciiTheme="minorHAnsi" w:hAnsiTheme="minorHAnsi"/>
          <w:sz w:val="28"/>
          <w:szCs w:val="28"/>
        </w:rPr>
        <w:t xml:space="preserve"> </w:t>
      </w:r>
    </w:p>
    <w:p w:rsidR="003333AB" w:rsidRDefault="003333AB" w:rsidP="003333AB">
      <w:pPr>
        <w:ind w:firstLine="720"/>
        <w:jc w:val="both"/>
        <w:rPr>
          <w:rFonts w:asciiTheme="minorHAnsi" w:hAnsiTheme="minorHAnsi"/>
          <w:sz w:val="28"/>
          <w:szCs w:val="28"/>
        </w:rPr>
      </w:pPr>
    </w:p>
    <w:p w:rsidR="003333AB" w:rsidRDefault="003333AB" w:rsidP="003333AB"/>
    <w:p w:rsidR="00504B62" w:rsidRDefault="00504B62"/>
    <w:sectPr w:rsidR="00504B62" w:rsidSect="0053674B">
      <w:pgSz w:w="12240" w:h="15840"/>
      <w:pgMar w:top="270" w:right="108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333AB"/>
    <w:rsid w:val="0010448D"/>
    <w:rsid w:val="001A1B99"/>
    <w:rsid w:val="002D1BD5"/>
    <w:rsid w:val="003333AB"/>
    <w:rsid w:val="00504B62"/>
    <w:rsid w:val="00532AD0"/>
    <w:rsid w:val="0053674B"/>
    <w:rsid w:val="00754494"/>
    <w:rsid w:val="009D4D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A1C81-51C2-4F6C-B56E-130BA808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3AB"/>
    <w:pPr>
      <w:spacing w:before="120" w:after="120" w:line="240" w:lineRule="auto"/>
    </w:pPr>
    <w:rPr>
      <w:rFonts w:ascii="Trebuchet MS" w:eastAsia="Times New Roman" w:hAnsi="Trebuchet MS" w:cs="Times New Roman"/>
      <w:sz w:val="20"/>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333AB"/>
    <w:pPr>
      <w:spacing w:before="0" w:after="0"/>
      <w:jc w:val="center"/>
    </w:pPr>
    <w:rPr>
      <w:rFonts w:ascii="Times New Roman" w:hAnsi="Times New Roman"/>
      <w:sz w:val="24"/>
      <w:lang w:eastAsia="ro-RO"/>
    </w:rPr>
  </w:style>
  <w:style w:type="character" w:customStyle="1" w:styleId="BodyTextChar">
    <w:name w:val="Body Text Char"/>
    <w:basedOn w:val="DefaultParagraphFont"/>
    <w:link w:val="BodyText"/>
    <w:semiHidden/>
    <w:rsid w:val="003333AB"/>
    <w:rPr>
      <w:rFonts w:ascii="Times New Roman" w:eastAsia="Times New Roman" w:hAnsi="Times New Roman" w:cs="Times New Roman"/>
      <w:sz w:val="24"/>
      <w:szCs w:val="24"/>
      <w:lang w:val="ro-RO" w:eastAsia="ro-RO"/>
    </w:rPr>
  </w:style>
  <w:style w:type="paragraph" w:styleId="NoSpacing">
    <w:name w:val="No Spacing"/>
    <w:uiPriority w:val="1"/>
    <w:qFormat/>
    <w:rsid w:val="003333AB"/>
    <w:pPr>
      <w:spacing w:after="0" w:line="240" w:lineRule="auto"/>
    </w:pPr>
    <w:rPr>
      <w:rFonts w:ascii="Trebuchet MS" w:eastAsia="Times New Roman" w:hAnsi="Trebuchet MS" w:cs="Times New Roman"/>
      <w:sz w:val="20"/>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005571">
      <w:bodyDiv w:val="1"/>
      <w:marLeft w:val="0"/>
      <w:marRight w:val="0"/>
      <w:marTop w:val="0"/>
      <w:marBottom w:val="0"/>
      <w:divBdr>
        <w:top w:val="none" w:sz="0" w:space="0" w:color="auto"/>
        <w:left w:val="none" w:sz="0" w:space="0" w:color="auto"/>
        <w:bottom w:val="none" w:sz="0" w:space="0" w:color="auto"/>
        <w:right w:val="none" w:sz="0" w:space="0" w:color="auto"/>
      </w:divBdr>
    </w:div>
    <w:div w:id="125436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dcterms:created xsi:type="dcterms:W3CDTF">2018-08-13T06:01:00Z</dcterms:created>
  <dcterms:modified xsi:type="dcterms:W3CDTF">2018-08-15T06:59:00Z</dcterms:modified>
</cp:coreProperties>
</file>