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3D3A" w14:textId="77777777" w:rsidR="00BB44C0" w:rsidRPr="00767ED0" w:rsidRDefault="00BB44C0" w:rsidP="00BB44C0">
      <w:pPr>
        <w:pStyle w:val="NoSpacing"/>
        <w:rPr>
          <w:rFonts w:ascii="Arial" w:eastAsia="Arial Black" w:hAnsi="Arial" w:cs="Arial"/>
          <w:sz w:val="28"/>
          <w:szCs w:val="28"/>
        </w:rPr>
      </w:pPr>
      <w:r w:rsidRPr="00767ED0">
        <w:rPr>
          <w:rFonts w:ascii="Arial" w:eastAsia="Arial Black" w:hAnsi="Arial" w:cs="Arial"/>
          <w:sz w:val="28"/>
          <w:szCs w:val="28"/>
        </w:rPr>
        <w:t>ROMANIA</w:t>
      </w:r>
    </w:p>
    <w:p w14:paraId="0F40DC39" w14:textId="6FFFFD20" w:rsidR="00BB44C0" w:rsidRPr="00767ED0" w:rsidRDefault="00BB44C0" w:rsidP="00BB44C0">
      <w:pPr>
        <w:pStyle w:val="NoSpacing"/>
        <w:rPr>
          <w:rFonts w:ascii="Arial" w:eastAsia="Arial Black" w:hAnsi="Arial" w:cs="Arial"/>
          <w:sz w:val="28"/>
          <w:szCs w:val="28"/>
        </w:rPr>
      </w:pPr>
      <w:r w:rsidRPr="00767ED0">
        <w:rPr>
          <w:rFonts w:ascii="Arial" w:eastAsia="Arial Black" w:hAnsi="Arial" w:cs="Arial"/>
          <w:sz w:val="28"/>
          <w:szCs w:val="28"/>
        </w:rPr>
        <w:t xml:space="preserve">JUDEȚUL </w:t>
      </w:r>
      <w:r w:rsidR="00FC396D" w:rsidRPr="00767ED0">
        <w:rPr>
          <w:rFonts w:ascii="Arial" w:eastAsia="Arial Black" w:hAnsi="Arial" w:cs="Arial"/>
          <w:sz w:val="28"/>
          <w:szCs w:val="28"/>
        </w:rPr>
        <w:t>MUREȘ</w:t>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p>
    <w:p w14:paraId="464D3DD0" w14:textId="4962AA73" w:rsidR="00BB44C0" w:rsidRPr="00767ED0" w:rsidRDefault="00BB44C0" w:rsidP="00BB44C0">
      <w:pPr>
        <w:pStyle w:val="NoSpacing"/>
        <w:rPr>
          <w:rFonts w:ascii="Arial" w:eastAsia="Arial Black" w:hAnsi="Arial" w:cs="Arial"/>
          <w:sz w:val="28"/>
          <w:szCs w:val="28"/>
        </w:rPr>
      </w:pPr>
      <w:r w:rsidRPr="00767ED0">
        <w:rPr>
          <w:rFonts w:ascii="Arial" w:eastAsia="Arial Black" w:hAnsi="Arial" w:cs="Arial"/>
          <w:sz w:val="28"/>
          <w:szCs w:val="28"/>
        </w:rPr>
        <w:t>COMUNA ACĂȚARI</w:t>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r>
      <w:r w:rsidRPr="00767ED0">
        <w:rPr>
          <w:rFonts w:ascii="Arial" w:eastAsia="Arial Black" w:hAnsi="Arial" w:cs="Arial"/>
          <w:sz w:val="28"/>
          <w:szCs w:val="28"/>
        </w:rPr>
        <w:tab/>
        <w:t xml:space="preserve">    </w:t>
      </w:r>
    </w:p>
    <w:p w14:paraId="40B0BE21" w14:textId="51F7913D" w:rsidR="00BB44C0" w:rsidRPr="00767ED0" w:rsidRDefault="00FC396D" w:rsidP="00767ED0">
      <w:pPr>
        <w:pStyle w:val="NoSpacing"/>
        <w:rPr>
          <w:rFonts w:ascii="Arial" w:eastAsia="Arial" w:hAnsi="Arial" w:cs="Arial"/>
          <w:sz w:val="28"/>
          <w:szCs w:val="28"/>
        </w:rPr>
      </w:pPr>
      <w:r w:rsidRPr="00767ED0">
        <w:rPr>
          <w:rFonts w:ascii="Arial" w:eastAsia="Arial Black" w:hAnsi="Arial" w:cs="Arial"/>
          <w:sz w:val="28"/>
          <w:szCs w:val="28"/>
        </w:rPr>
        <w:t xml:space="preserve">CONSILIUL LOCAL </w:t>
      </w:r>
      <w:r w:rsidR="00BB44C0" w:rsidRPr="00767ED0">
        <w:rPr>
          <w:rFonts w:ascii="Arial" w:eastAsia="Arial Black" w:hAnsi="Arial" w:cs="Arial"/>
          <w:sz w:val="28"/>
          <w:szCs w:val="28"/>
        </w:rPr>
        <w:tab/>
      </w:r>
      <w:r w:rsidR="00BB44C0" w:rsidRPr="00767ED0">
        <w:rPr>
          <w:rFonts w:ascii="Arial" w:eastAsia="Arial Black" w:hAnsi="Arial" w:cs="Arial"/>
          <w:sz w:val="28"/>
          <w:szCs w:val="28"/>
        </w:rPr>
        <w:tab/>
      </w:r>
      <w:r w:rsidR="00BB44C0" w:rsidRPr="00767ED0">
        <w:rPr>
          <w:rFonts w:ascii="Arial" w:eastAsia="Arial Black" w:hAnsi="Arial" w:cs="Arial"/>
          <w:sz w:val="28"/>
          <w:szCs w:val="28"/>
        </w:rPr>
        <w:tab/>
      </w:r>
      <w:r w:rsidR="00BB44C0" w:rsidRPr="00767ED0">
        <w:rPr>
          <w:rFonts w:ascii="Arial" w:eastAsia="Arial Black" w:hAnsi="Arial" w:cs="Arial"/>
          <w:sz w:val="28"/>
          <w:szCs w:val="28"/>
        </w:rPr>
        <w:tab/>
      </w:r>
      <w:r w:rsidR="00BB44C0" w:rsidRPr="00767ED0">
        <w:rPr>
          <w:rFonts w:ascii="Arial" w:eastAsia="Arial Black" w:hAnsi="Arial" w:cs="Arial"/>
          <w:sz w:val="28"/>
          <w:szCs w:val="28"/>
        </w:rPr>
        <w:tab/>
      </w:r>
      <w:r w:rsidR="00BB44C0" w:rsidRPr="00767ED0">
        <w:rPr>
          <w:rFonts w:ascii="Arial" w:eastAsia="Arial Black" w:hAnsi="Arial" w:cs="Arial"/>
          <w:sz w:val="28"/>
          <w:szCs w:val="28"/>
        </w:rPr>
        <w:tab/>
      </w:r>
      <w:r w:rsidR="00BB44C0" w:rsidRPr="00767ED0">
        <w:rPr>
          <w:rFonts w:ascii="Arial" w:eastAsia="Arial Black" w:hAnsi="Arial" w:cs="Arial"/>
          <w:sz w:val="28"/>
          <w:szCs w:val="28"/>
        </w:rPr>
        <w:tab/>
      </w:r>
      <w:r w:rsidR="00BB44C0" w:rsidRPr="00767ED0">
        <w:rPr>
          <w:rFonts w:ascii="Arial" w:eastAsia="Arial Black" w:hAnsi="Arial" w:cs="Arial"/>
          <w:sz w:val="28"/>
          <w:szCs w:val="28"/>
        </w:rPr>
        <w:tab/>
      </w:r>
      <w:r w:rsidR="00BB44C0" w:rsidRPr="00767ED0">
        <w:rPr>
          <w:rFonts w:ascii="Arial" w:eastAsia="Arial Black" w:hAnsi="Arial" w:cs="Arial"/>
          <w:sz w:val="28"/>
          <w:szCs w:val="28"/>
        </w:rPr>
        <w:tab/>
        <w:t xml:space="preserve">                                        </w:t>
      </w:r>
      <w:r w:rsidR="00BB44C0" w:rsidRPr="00767ED0">
        <w:rPr>
          <w:rFonts w:ascii="Arial" w:eastAsia="Arial" w:hAnsi="Arial" w:cs="Arial"/>
          <w:sz w:val="28"/>
          <w:szCs w:val="28"/>
        </w:rPr>
        <w:t xml:space="preserve">                                    </w:t>
      </w:r>
    </w:p>
    <w:p w14:paraId="577ADBA4" w14:textId="6604380B" w:rsidR="00BB44C0" w:rsidRPr="008E3C81" w:rsidRDefault="00BB44C0" w:rsidP="00767ED0">
      <w:pPr>
        <w:pStyle w:val="NoSpacing"/>
        <w:jc w:val="center"/>
        <w:rPr>
          <w:rFonts w:ascii="Arial" w:eastAsiaTheme="majorEastAsia" w:hAnsi="Arial" w:cs="Arial"/>
          <w:b/>
          <w:sz w:val="28"/>
          <w:szCs w:val="28"/>
          <w:u w:val="single"/>
        </w:rPr>
      </w:pPr>
      <w:r w:rsidRPr="008E3C81">
        <w:rPr>
          <w:rFonts w:ascii="Arial" w:hAnsi="Arial" w:cs="Arial"/>
          <w:b/>
          <w:sz w:val="28"/>
          <w:szCs w:val="28"/>
          <w:u w:val="single"/>
        </w:rPr>
        <w:t>HOTĂRÂREA</w:t>
      </w:r>
    </w:p>
    <w:p w14:paraId="1F4912C0" w14:textId="5C580758" w:rsidR="00BB44C0" w:rsidRPr="008E3C81" w:rsidRDefault="00FC396D" w:rsidP="00767ED0">
      <w:pPr>
        <w:pStyle w:val="NoSpacing"/>
        <w:jc w:val="center"/>
        <w:rPr>
          <w:rFonts w:ascii="Arial" w:hAnsi="Arial" w:cs="Arial"/>
          <w:b/>
          <w:color w:val="00B050"/>
          <w:sz w:val="28"/>
          <w:szCs w:val="28"/>
          <w:u w:val="single"/>
        </w:rPr>
      </w:pPr>
      <w:r w:rsidRPr="008E3C81">
        <w:rPr>
          <w:rFonts w:ascii="Arial" w:hAnsi="Arial" w:cs="Arial"/>
          <w:b/>
          <w:noProof/>
          <w:sz w:val="28"/>
          <w:szCs w:val="28"/>
          <w:u w:val="single"/>
        </w:rPr>
        <mc:AlternateContent>
          <mc:Choice Requires="wps">
            <w:drawing>
              <wp:anchor distT="0" distB="0" distL="114935" distR="114935" simplePos="0" relativeHeight="251658240" behindDoc="0" locked="0" layoutInCell="1" allowOverlap="1" wp14:anchorId="6E97A59A" wp14:editId="5E319572">
                <wp:simplePos x="0" y="0"/>
                <wp:positionH relativeFrom="column">
                  <wp:posOffset>133350</wp:posOffset>
                </wp:positionH>
                <wp:positionV relativeFrom="paragraph">
                  <wp:posOffset>207009</wp:posOffset>
                </wp:positionV>
                <wp:extent cx="6075680" cy="523875"/>
                <wp:effectExtent l="0" t="0" r="20320"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523875"/>
                        </a:xfrm>
                        <a:prstGeom prst="rect">
                          <a:avLst/>
                        </a:prstGeom>
                        <a:solidFill>
                          <a:srgbClr val="FFFFFF"/>
                        </a:solidFill>
                        <a:ln w="9525">
                          <a:solidFill>
                            <a:srgbClr val="FFFFFF"/>
                          </a:solidFill>
                          <a:miter lim="800000"/>
                          <a:headEnd/>
                          <a:tailEnd/>
                        </a:ln>
                      </wps:spPr>
                      <wps:txbx>
                        <w:txbxContent>
                          <w:p w14:paraId="4AB8EB72" w14:textId="77777777" w:rsidR="00BB44C0" w:rsidRPr="008E3C81" w:rsidRDefault="00BB44C0" w:rsidP="00FC396D">
                            <w:pPr>
                              <w:spacing w:after="0"/>
                              <w:jc w:val="center"/>
                              <w:rPr>
                                <w:rFonts w:ascii="Times New Roman" w:hAnsi="Times New Roman" w:cs="Times New Roman"/>
                                <w:b/>
                                <w:bCs/>
                                <w:sz w:val="28"/>
                                <w:szCs w:val="28"/>
                              </w:rPr>
                            </w:pPr>
                            <w:r w:rsidRPr="00FC396D">
                              <w:rPr>
                                <w:rFonts w:ascii="Times New Roman" w:eastAsia="Times New Roman" w:hAnsi="Times New Roman" w:cs="Times New Roman"/>
                                <w:b/>
                                <w:sz w:val="28"/>
                                <w:szCs w:val="28"/>
                                <w:u w:val="single"/>
                                <w:lang w:eastAsia="ro-RO"/>
                              </w:rPr>
                              <w:t xml:space="preserve">privind participarea la Programul </w:t>
                            </w:r>
                            <w:r w:rsidRPr="00FC396D">
                              <w:rPr>
                                <w:rFonts w:ascii="Times New Roman" w:hAnsi="Times New Roman" w:cs="Times New Roman"/>
                                <w:b/>
                                <w:bCs/>
                                <w:sz w:val="28"/>
                                <w:szCs w:val="28"/>
                                <w:u w:val="single"/>
                              </w:rPr>
                              <w:t xml:space="preserve">vizând sisteme de alimentare cu apă, </w:t>
                            </w:r>
                            <w:r w:rsidRPr="008E3C81">
                              <w:rPr>
                                <w:rFonts w:ascii="Times New Roman" w:hAnsi="Times New Roman" w:cs="Times New Roman"/>
                                <w:b/>
                                <w:bCs/>
                                <w:sz w:val="28"/>
                                <w:szCs w:val="28"/>
                                <w:u w:val="single"/>
                              </w:rPr>
                              <w:t>canalizare</w:t>
                            </w:r>
                          </w:p>
                          <w:p w14:paraId="332D60D6" w14:textId="77777777" w:rsidR="00BB44C0" w:rsidRPr="00FC396D" w:rsidRDefault="00BB44C0" w:rsidP="00FC396D">
                            <w:pPr>
                              <w:spacing w:after="0"/>
                              <w:jc w:val="center"/>
                              <w:rPr>
                                <w:rFonts w:ascii="Times New Roman" w:hAnsi="Times New Roman" w:cs="Times New Roman"/>
                                <w:b/>
                                <w:bCs/>
                                <w:sz w:val="28"/>
                                <w:szCs w:val="28"/>
                                <w:u w:val="single"/>
                              </w:rPr>
                            </w:pPr>
                            <w:r w:rsidRPr="00FC396D">
                              <w:rPr>
                                <w:rFonts w:ascii="Times New Roman" w:hAnsi="Times New Roman" w:cs="Times New Roman"/>
                                <w:b/>
                                <w:bCs/>
                                <w:sz w:val="28"/>
                                <w:szCs w:val="28"/>
                                <w:u w:val="single"/>
                              </w:rPr>
                              <w:t>și epurare a apelor uzate</w:t>
                            </w:r>
                          </w:p>
                          <w:p w14:paraId="6EE8C536" w14:textId="77777777" w:rsidR="00BB44C0" w:rsidRDefault="00BB44C0" w:rsidP="00BB44C0"/>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7A59A" id="_x0000_t202" coordsize="21600,21600" o:spt="202" path="m,l,21600r21600,l21600,xe">
                <v:stroke joinstyle="miter"/>
                <v:path gradientshapeok="t" o:connecttype="rect"/>
              </v:shapetype>
              <v:shape id="Text Box 1" o:spid="_x0000_s1026" type="#_x0000_t202" style="position:absolute;left:0;text-align:left;margin-left:10.5pt;margin-top:16.3pt;width:478.4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" strokecolor="white">
                <v:textbox>
                  <w:txbxContent>
                    <w:p w14:paraId="4AB8EB72" w14:textId="77777777" w:rsidR="00BB44C0" w:rsidRPr="008E3C81" w:rsidRDefault="00BB44C0" w:rsidP="00FC396D">
                      <w:pPr>
                        <w:spacing w:after="0"/>
                        <w:jc w:val="center"/>
                        <w:rPr>
                          <w:rFonts w:ascii="Times New Roman" w:hAnsi="Times New Roman" w:cs="Times New Roman"/>
                          <w:b/>
                          <w:bCs/>
                          <w:sz w:val="28"/>
                          <w:szCs w:val="28"/>
                        </w:rPr>
                      </w:pPr>
                      <w:r w:rsidRPr="00FC396D">
                        <w:rPr>
                          <w:rFonts w:ascii="Times New Roman" w:eastAsia="Times New Roman" w:hAnsi="Times New Roman" w:cs="Times New Roman"/>
                          <w:b/>
                          <w:sz w:val="28"/>
                          <w:szCs w:val="28"/>
                          <w:u w:val="single"/>
                          <w:lang w:eastAsia="ro-RO"/>
                        </w:rPr>
                        <w:t xml:space="preserve">privind participarea la Programul </w:t>
                      </w:r>
                      <w:r w:rsidRPr="00FC396D">
                        <w:rPr>
                          <w:rFonts w:ascii="Times New Roman" w:hAnsi="Times New Roman" w:cs="Times New Roman"/>
                          <w:b/>
                          <w:bCs/>
                          <w:sz w:val="28"/>
                          <w:szCs w:val="28"/>
                          <w:u w:val="single"/>
                        </w:rPr>
                        <w:t xml:space="preserve">vizând sisteme de alimentare cu apă, </w:t>
                      </w:r>
                      <w:r w:rsidRPr="008E3C81">
                        <w:rPr>
                          <w:rFonts w:ascii="Times New Roman" w:hAnsi="Times New Roman" w:cs="Times New Roman"/>
                          <w:b/>
                          <w:bCs/>
                          <w:sz w:val="28"/>
                          <w:szCs w:val="28"/>
                          <w:u w:val="single"/>
                        </w:rPr>
                        <w:t>canalizare</w:t>
                      </w:r>
                    </w:p>
                    <w:p w14:paraId="332D60D6" w14:textId="77777777" w:rsidR="00BB44C0" w:rsidRPr="00FC396D" w:rsidRDefault="00BB44C0" w:rsidP="00FC396D">
                      <w:pPr>
                        <w:spacing w:after="0"/>
                        <w:jc w:val="center"/>
                        <w:rPr>
                          <w:rFonts w:ascii="Times New Roman" w:hAnsi="Times New Roman" w:cs="Times New Roman"/>
                          <w:b/>
                          <w:bCs/>
                          <w:sz w:val="28"/>
                          <w:szCs w:val="28"/>
                          <w:u w:val="single"/>
                        </w:rPr>
                      </w:pPr>
                      <w:r w:rsidRPr="00FC396D">
                        <w:rPr>
                          <w:rFonts w:ascii="Times New Roman" w:hAnsi="Times New Roman" w:cs="Times New Roman"/>
                          <w:b/>
                          <w:bCs/>
                          <w:sz w:val="28"/>
                          <w:szCs w:val="28"/>
                          <w:u w:val="single"/>
                        </w:rPr>
                        <w:t>și epurare a apelor uzate</w:t>
                      </w:r>
                    </w:p>
                    <w:p w14:paraId="6EE8C536" w14:textId="77777777" w:rsidR="00BB44C0" w:rsidRDefault="00BB44C0" w:rsidP="00BB44C0"/>
                  </w:txbxContent>
                </v:textbox>
              </v:shape>
            </w:pict>
          </mc:Fallback>
        </mc:AlternateContent>
      </w:r>
      <w:r w:rsidR="00BB44C0" w:rsidRPr="008E3C81">
        <w:rPr>
          <w:rFonts w:ascii="Arial" w:hAnsi="Arial" w:cs="Arial"/>
          <w:b/>
          <w:sz w:val="28"/>
          <w:szCs w:val="28"/>
          <w:u w:val="single"/>
        </w:rPr>
        <w:t>nr.</w:t>
      </w:r>
      <w:r w:rsidRPr="008E3C81">
        <w:rPr>
          <w:rFonts w:ascii="Arial" w:hAnsi="Arial" w:cs="Arial"/>
          <w:b/>
          <w:sz w:val="28"/>
          <w:szCs w:val="28"/>
          <w:u w:val="single"/>
        </w:rPr>
        <w:t xml:space="preserve">21 </w:t>
      </w:r>
      <w:r w:rsidR="00BB44C0" w:rsidRPr="008E3C81">
        <w:rPr>
          <w:rFonts w:ascii="Arial" w:hAnsi="Arial" w:cs="Arial"/>
          <w:b/>
          <w:sz w:val="28"/>
          <w:szCs w:val="28"/>
          <w:u w:val="single"/>
        </w:rPr>
        <w:t xml:space="preserve">din </w:t>
      </w:r>
      <w:r w:rsidRPr="008E3C81">
        <w:rPr>
          <w:rFonts w:ascii="Arial" w:hAnsi="Arial" w:cs="Arial"/>
          <w:b/>
          <w:sz w:val="28"/>
          <w:szCs w:val="28"/>
          <w:u w:val="single"/>
        </w:rPr>
        <w:t xml:space="preserve"> 27 martie 2024</w:t>
      </w:r>
    </w:p>
    <w:p w14:paraId="51610001" w14:textId="4F17BA6F" w:rsidR="00BB44C0" w:rsidRPr="00767ED0" w:rsidRDefault="00BB44C0" w:rsidP="00767ED0">
      <w:pPr>
        <w:pStyle w:val="NoSpacing"/>
        <w:jc w:val="center"/>
        <w:rPr>
          <w:rFonts w:ascii="Arial" w:hAnsi="Arial" w:cs="Arial"/>
          <w:b/>
          <w:sz w:val="28"/>
          <w:szCs w:val="28"/>
          <w:u w:val="single"/>
          <w:lang w:val="pt-BR"/>
        </w:rPr>
      </w:pPr>
    </w:p>
    <w:p w14:paraId="1149FF4E" w14:textId="77777777" w:rsidR="00BB44C0" w:rsidRPr="00767ED0" w:rsidRDefault="00BB44C0" w:rsidP="00BB44C0">
      <w:pPr>
        <w:jc w:val="both"/>
        <w:rPr>
          <w:sz w:val="28"/>
          <w:szCs w:val="28"/>
        </w:rPr>
      </w:pPr>
    </w:p>
    <w:p w14:paraId="5ED41E1D" w14:textId="77777777" w:rsidR="00BB44C0" w:rsidRPr="00767ED0" w:rsidRDefault="00BB44C0" w:rsidP="00BB44C0">
      <w:pPr>
        <w:spacing w:after="0"/>
        <w:ind w:firstLine="851"/>
        <w:jc w:val="both"/>
        <w:rPr>
          <w:rFonts w:eastAsia="Times New Roman"/>
          <w:color w:val="000000"/>
          <w:sz w:val="28"/>
          <w:szCs w:val="28"/>
          <w:lang w:eastAsia="ro-RO"/>
        </w:rPr>
      </w:pPr>
    </w:p>
    <w:p w14:paraId="0A942305" w14:textId="77777777" w:rsidR="00BB44C0" w:rsidRPr="00767ED0" w:rsidRDefault="00BB44C0" w:rsidP="00BB44C0">
      <w:pPr>
        <w:spacing w:after="0"/>
        <w:ind w:firstLine="851"/>
        <w:jc w:val="both"/>
        <w:rPr>
          <w:sz w:val="28"/>
          <w:szCs w:val="28"/>
          <w:lang w:eastAsia="ro-RO"/>
        </w:rPr>
      </w:pPr>
      <w:r w:rsidRPr="00767ED0">
        <w:rPr>
          <w:sz w:val="28"/>
          <w:szCs w:val="28"/>
          <w:lang w:eastAsia="ro-RO"/>
        </w:rPr>
        <w:t>Având în vedere temeiurile juridice, respectiv prevederile:</w:t>
      </w:r>
    </w:p>
    <w:p w14:paraId="70101A2E" w14:textId="77777777" w:rsidR="00BB44C0" w:rsidRPr="00767ED0" w:rsidRDefault="00BB44C0" w:rsidP="00BB44C0">
      <w:pPr>
        <w:numPr>
          <w:ilvl w:val="0"/>
          <w:numId w:val="2"/>
        </w:numPr>
        <w:tabs>
          <w:tab w:val="left" w:pos="720"/>
        </w:tabs>
        <w:spacing w:after="0"/>
        <w:ind w:left="0" w:firstLine="720"/>
        <w:jc w:val="both"/>
        <w:rPr>
          <w:sz w:val="28"/>
          <w:szCs w:val="28"/>
          <w:lang w:eastAsia="ro-RO"/>
        </w:rPr>
      </w:pPr>
      <w:r w:rsidRPr="00767ED0">
        <w:rPr>
          <w:sz w:val="28"/>
          <w:szCs w:val="28"/>
          <w:lang w:eastAsia="ro-RO"/>
        </w:rPr>
        <w:t>art. 120 și art. 121 alin. (1) și (2) din Constituția României, republicată;</w:t>
      </w:r>
    </w:p>
    <w:p w14:paraId="34C94CB9" w14:textId="77777777" w:rsidR="00BB44C0" w:rsidRPr="00767ED0" w:rsidRDefault="00BB44C0" w:rsidP="00BB44C0">
      <w:pPr>
        <w:numPr>
          <w:ilvl w:val="0"/>
          <w:numId w:val="2"/>
        </w:numPr>
        <w:tabs>
          <w:tab w:val="left" w:pos="0"/>
          <w:tab w:val="left" w:pos="900"/>
        </w:tabs>
        <w:suppressAutoHyphens w:val="0"/>
        <w:spacing w:after="0"/>
        <w:ind w:left="0" w:firstLine="720"/>
        <w:jc w:val="both"/>
        <w:rPr>
          <w:sz w:val="28"/>
          <w:szCs w:val="28"/>
        </w:rPr>
      </w:pPr>
      <w:r w:rsidRPr="00767ED0">
        <w:rPr>
          <w:sz w:val="28"/>
          <w:szCs w:val="28"/>
        </w:rPr>
        <w:t>art. 8 și 9 din Carta europeană a autonomiei locale, adoptată la Strasbourg la 15 octombrie 1985, ratificată prin Legea nr. 199/1997;</w:t>
      </w:r>
    </w:p>
    <w:p w14:paraId="29913258" w14:textId="77777777" w:rsidR="00BB44C0" w:rsidRPr="00767ED0" w:rsidRDefault="00BB44C0" w:rsidP="00BB44C0">
      <w:pPr>
        <w:numPr>
          <w:ilvl w:val="0"/>
          <w:numId w:val="2"/>
        </w:numPr>
        <w:tabs>
          <w:tab w:val="left" w:pos="720"/>
        </w:tabs>
        <w:spacing w:after="0"/>
        <w:ind w:left="0" w:firstLine="720"/>
        <w:jc w:val="both"/>
        <w:rPr>
          <w:rFonts w:eastAsia="Times New Roman"/>
          <w:color w:val="000000"/>
          <w:sz w:val="28"/>
          <w:szCs w:val="28"/>
          <w:lang w:eastAsia="ro-RO"/>
        </w:rPr>
      </w:pPr>
      <w:r w:rsidRPr="00767ED0">
        <w:rPr>
          <w:sz w:val="28"/>
          <w:szCs w:val="28"/>
        </w:rPr>
        <w:t xml:space="preserve">art. 7 alin. (2) și art. 1166 </w:t>
      </w:r>
      <w:r w:rsidRPr="00767ED0">
        <w:rPr>
          <w:rFonts w:eastAsia="Times New Roman"/>
          <w:color w:val="000000"/>
          <w:sz w:val="28"/>
          <w:szCs w:val="28"/>
          <w:lang w:eastAsia="ro-RO"/>
        </w:rPr>
        <w:t>și următoarele din</w:t>
      </w:r>
      <w:r w:rsidRPr="00767ED0">
        <w:rPr>
          <w:sz w:val="28"/>
          <w:szCs w:val="28"/>
        </w:rPr>
        <w:t xml:space="preserve"> </w:t>
      </w:r>
      <w:r w:rsidRPr="00767ED0">
        <w:rPr>
          <w:rFonts w:eastAsia="Times New Roman"/>
          <w:color w:val="000000"/>
          <w:sz w:val="28"/>
          <w:szCs w:val="28"/>
          <w:lang w:eastAsia="ro-RO"/>
        </w:rPr>
        <w:t>Legea nr. 287/2009 privind Codul civil, republicată, cu modificările ulterioare, referitoare la contracte sau convenții</w:t>
      </w:r>
      <w:r w:rsidRPr="00767ED0">
        <w:rPr>
          <w:sz w:val="28"/>
          <w:szCs w:val="28"/>
        </w:rPr>
        <w:t>;</w:t>
      </w:r>
    </w:p>
    <w:p w14:paraId="42452B57" w14:textId="77777777" w:rsidR="00BB44C0" w:rsidRPr="00767ED0" w:rsidRDefault="00BB44C0" w:rsidP="00BB44C0">
      <w:pPr>
        <w:numPr>
          <w:ilvl w:val="0"/>
          <w:numId w:val="2"/>
        </w:numPr>
        <w:tabs>
          <w:tab w:val="left" w:pos="720"/>
        </w:tabs>
        <w:suppressAutoHyphens w:val="0"/>
        <w:spacing w:after="0"/>
        <w:ind w:left="0" w:firstLine="720"/>
        <w:jc w:val="both"/>
        <w:rPr>
          <w:sz w:val="28"/>
          <w:szCs w:val="28"/>
        </w:rPr>
      </w:pPr>
      <w:r w:rsidRPr="00767ED0">
        <w:rPr>
          <w:sz w:val="28"/>
          <w:szCs w:val="28"/>
        </w:rPr>
        <w:t>art. 20 și 21 din Legea cadru a descentralizării nr. 195/2006;</w:t>
      </w:r>
    </w:p>
    <w:p w14:paraId="729C8C7B" w14:textId="77777777" w:rsidR="00BB44C0" w:rsidRPr="00767ED0" w:rsidRDefault="00BB44C0" w:rsidP="00BB44C0">
      <w:pPr>
        <w:numPr>
          <w:ilvl w:val="0"/>
          <w:numId w:val="2"/>
        </w:numPr>
        <w:tabs>
          <w:tab w:val="left" w:pos="720"/>
        </w:tabs>
        <w:spacing w:after="0"/>
        <w:ind w:left="0" w:firstLine="720"/>
        <w:jc w:val="both"/>
        <w:rPr>
          <w:rFonts w:eastAsia="Times New Roman"/>
          <w:sz w:val="28"/>
          <w:szCs w:val="28"/>
          <w:lang w:eastAsia="ro-RO"/>
        </w:rPr>
      </w:pPr>
      <w:r w:rsidRPr="00767ED0">
        <w:rPr>
          <w:rFonts w:eastAsia="Times New Roman"/>
          <w:sz w:val="28"/>
          <w:szCs w:val="28"/>
          <w:lang w:eastAsia="ro-RO"/>
        </w:rPr>
        <w:t xml:space="preserve">art. 129 alin. (2) din </w:t>
      </w:r>
      <w:bookmarkStart w:id="0" w:name="_Hlk69736526"/>
      <w:r w:rsidRPr="00767ED0">
        <w:rPr>
          <w:rFonts w:eastAsia="Times New Roman"/>
          <w:sz w:val="28"/>
          <w:szCs w:val="28"/>
          <w:lang w:eastAsia="ro-RO"/>
        </w:rPr>
        <w:t>OUG 57/2019 privind Codul Administrativ, cu modificările și completările ulterioare</w:t>
      </w:r>
      <w:bookmarkEnd w:id="0"/>
      <w:r w:rsidRPr="00767ED0">
        <w:rPr>
          <w:rFonts w:eastAsia="Times New Roman"/>
          <w:sz w:val="28"/>
          <w:szCs w:val="28"/>
          <w:lang w:eastAsia="ro-RO"/>
        </w:rPr>
        <w:t xml:space="preserve">; </w:t>
      </w:r>
    </w:p>
    <w:p w14:paraId="7AC64FC1" w14:textId="77777777" w:rsidR="00BB44C0" w:rsidRPr="00DB02D6" w:rsidRDefault="00BB44C0" w:rsidP="00BB44C0">
      <w:pPr>
        <w:numPr>
          <w:ilvl w:val="0"/>
          <w:numId w:val="2"/>
        </w:numPr>
        <w:tabs>
          <w:tab w:val="left" w:pos="720"/>
        </w:tabs>
        <w:suppressAutoHyphens w:val="0"/>
        <w:spacing w:after="0"/>
        <w:ind w:left="0" w:firstLine="720"/>
        <w:jc w:val="both"/>
        <w:rPr>
          <w:sz w:val="28"/>
          <w:szCs w:val="28"/>
        </w:rPr>
      </w:pPr>
      <w:r w:rsidRPr="00767ED0">
        <w:rPr>
          <w:rFonts w:eastAsia="Times New Roman"/>
          <w:sz w:val="28"/>
          <w:szCs w:val="28"/>
          <w:lang w:eastAsia="ro-RO"/>
        </w:rPr>
        <w:t>Legea nr. 273/2006 privind finanțele publice locale, cu modificările și completările ulterioare;</w:t>
      </w:r>
    </w:p>
    <w:p w14:paraId="24EE8FBC" w14:textId="77777777" w:rsidR="00BB44C0" w:rsidRPr="00DB02D6" w:rsidRDefault="00BB44C0" w:rsidP="00DB02D6">
      <w:pPr>
        <w:numPr>
          <w:ilvl w:val="0"/>
          <w:numId w:val="2"/>
        </w:numPr>
        <w:tabs>
          <w:tab w:val="left" w:pos="720"/>
        </w:tabs>
        <w:suppressAutoHyphens w:val="0"/>
        <w:spacing w:after="0"/>
        <w:ind w:left="0" w:firstLine="720"/>
        <w:jc w:val="both"/>
        <w:rPr>
          <w:sz w:val="28"/>
          <w:szCs w:val="28"/>
        </w:rPr>
      </w:pPr>
      <w:r w:rsidRPr="00DB02D6">
        <w:rPr>
          <w:sz w:val="28"/>
          <w:szCs w:val="28"/>
        </w:rPr>
        <w:t>Programul vizând sisteme de alimentare cu apă, canalizare și epurare a apelor uzate, aprobat prin Ordinul MMAP nr. 475/29.02.2024;</w:t>
      </w:r>
    </w:p>
    <w:p w14:paraId="6F0CD312" w14:textId="77777777" w:rsidR="00BB44C0" w:rsidRPr="00767ED0" w:rsidRDefault="00BB44C0" w:rsidP="00BB44C0">
      <w:pPr>
        <w:numPr>
          <w:ilvl w:val="0"/>
          <w:numId w:val="2"/>
        </w:numPr>
        <w:tabs>
          <w:tab w:val="left" w:pos="720"/>
        </w:tabs>
        <w:suppressAutoHyphens w:val="0"/>
        <w:spacing w:after="0"/>
        <w:ind w:left="0" w:firstLine="720"/>
        <w:jc w:val="both"/>
        <w:rPr>
          <w:sz w:val="28"/>
          <w:szCs w:val="28"/>
        </w:rPr>
      </w:pPr>
      <w:bookmarkStart w:id="1" w:name="tree%252357"/>
      <w:bookmarkEnd w:id="1"/>
      <w:r w:rsidRPr="00767ED0">
        <w:rPr>
          <w:sz w:val="28"/>
          <w:szCs w:val="28"/>
        </w:rPr>
        <w:t xml:space="preserve">luând în considerare prevederile Hotărârii Guvernului nr. 907/2016 privind aprobarea Structurii devizului general şi a Metodologiei privind elaborarea devizului general pentru obiective de investiţii şi lucrări de intervenţii, </w:t>
      </w:r>
    </w:p>
    <w:p w14:paraId="5A0A4715" w14:textId="77777777" w:rsidR="00BB44C0" w:rsidRPr="008E3C81" w:rsidRDefault="00BB44C0" w:rsidP="00BB44C0">
      <w:pPr>
        <w:numPr>
          <w:ilvl w:val="0"/>
          <w:numId w:val="2"/>
        </w:numPr>
        <w:tabs>
          <w:tab w:val="left" w:pos="720"/>
        </w:tabs>
        <w:spacing w:after="0"/>
        <w:ind w:left="0" w:firstLine="720"/>
        <w:jc w:val="both"/>
        <w:rPr>
          <w:rFonts w:eastAsia="Times New Roman"/>
          <w:sz w:val="28"/>
          <w:szCs w:val="28"/>
          <w:lang w:eastAsia="ro-RO"/>
        </w:rPr>
      </w:pPr>
      <w:r w:rsidRPr="00767ED0">
        <w:rPr>
          <w:rFonts w:eastAsia="Times New Roman"/>
          <w:sz w:val="28"/>
          <w:szCs w:val="28"/>
          <w:lang w:eastAsia="ro-RO"/>
        </w:rPr>
        <w:t xml:space="preserve">analizând documentaţia tehnico-economică și indicatorii tehnico-economici ai proiectului </w:t>
      </w:r>
      <w:r w:rsidRPr="00767ED0">
        <w:rPr>
          <w:rFonts w:eastAsia="Times New Roman"/>
          <w:b/>
          <w:bCs/>
          <w:sz w:val="28"/>
          <w:szCs w:val="28"/>
          <w:lang w:eastAsia="ro-RO"/>
        </w:rPr>
        <w:t>”CANALIZARE MENAJERĂ ÎN SATELE GRUIȘOR și STEJERIȘ COMUNA ACĂȚARI JUDEȚUL MUREȘ”.</w:t>
      </w:r>
    </w:p>
    <w:p w14:paraId="1CF41D6D" w14:textId="2693239C" w:rsidR="008E3C81" w:rsidRPr="008E3C81" w:rsidRDefault="008E3C81" w:rsidP="008E3C81">
      <w:pPr>
        <w:tabs>
          <w:tab w:val="left" w:pos="720"/>
        </w:tabs>
        <w:spacing w:after="0"/>
        <w:ind w:firstLine="720"/>
        <w:jc w:val="both"/>
        <w:rPr>
          <w:rFonts w:eastAsia="Times New Roman"/>
          <w:sz w:val="28"/>
          <w:szCs w:val="28"/>
          <w:lang w:eastAsia="ro-RO"/>
        </w:rPr>
      </w:pPr>
      <w:r w:rsidRPr="008E3C81">
        <w:rPr>
          <w:sz w:val="28"/>
          <w:szCs w:val="28"/>
        </w:rPr>
        <w:t xml:space="preserve">Ținând cont de prevederile </w:t>
      </w:r>
      <w:r w:rsidRPr="008E3C81">
        <w:rPr>
          <w:color w:val="000000"/>
          <w:sz w:val="28"/>
          <w:szCs w:val="28"/>
        </w:rPr>
        <w:t>Legii nr.52/2003 ,privind transparența decizionalã în administrația publicã, republicatã, cu modificările și  completările ulterioare;</w:t>
      </w:r>
    </w:p>
    <w:p w14:paraId="14810A06" w14:textId="1620E2F6" w:rsidR="00BB44C0" w:rsidRPr="00767ED0" w:rsidRDefault="00BB44C0" w:rsidP="00BB44C0">
      <w:pPr>
        <w:spacing w:after="0"/>
        <w:jc w:val="both"/>
        <w:rPr>
          <w:rFonts w:eastAsia="Times New Roman"/>
          <w:color w:val="000000"/>
          <w:sz w:val="28"/>
          <w:szCs w:val="28"/>
          <w:lang w:eastAsia="ro-RO"/>
        </w:rPr>
      </w:pPr>
      <w:r w:rsidRPr="00767ED0">
        <w:rPr>
          <w:rFonts w:eastAsia="Times New Roman"/>
          <w:color w:val="000000"/>
          <w:sz w:val="28"/>
          <w:szCs w:val="28"/>
          <w:lang w:eastAsia="ro-RO"/>
        </w:rPr>
        <w:tab/>
        <w:t xml:space="preserve">în temeiul prevederilor art. 139 alin. (1) și celor ale art. 196 alin. (1) lit. a) din </w:t>
      </w:r>
      <w:r w:rsidRPr="00767ED0">
        <w:rPr>
          <w:noProof/>
          <w:sz w:val="28"/>
          <w:szCs w:val="28"/>
          <w:lang w:eastAsia="ro-RO"/>
        </w:rPr>
        <w:t>OUG 57/2019 privind Codul Administrativ, cu modificările și completările ulterioare</w:t>
      </w:r>
      <w:r w:rsidRPr="00767ED0">
        <w:rPr>
          <w:rFonts w:eastAsia="Times New Roman"/>
          <w:color w:val="000000"/>
          <w:sz w:val="28"/>
          <w:szCs w:val="28"/>
          <w:lang w:eastAsia="ro-RO"/>
        </w:rPr>
        <w:t>,</w:t>
      </w:r>
    </w:p>
    <w:p w14:paraId="356A3D9B" w14:textId="77777777" w:rsidR="00BB44C0" w:rsidRPr="00767ED0" w:rsidRDefault="00BB44C0" w:rsidP="00BB44C0">
      <w:pPr>
        <w:spacing w:after="0"/>
        <w:jc w:val="both"/>
        <w:rPr>
          <w:rFonts w:eastAsia="Times New Roman"/>
          <w:color w:val="000000"/>
          <w:sz w:val="28"/>
          <w:szCs w:val="28"/>
          <w:lang w:eastAsia="ro-RO"/>
        </w:rPr>
      </w:pPr>
      <w:r w:rsidRPr="00767ED0">
        <w:rPr>
          <w:rFonts w:eastAsia="Times New Roman"/>
          <w:color w:val="000000"/>
          <w:sz w:val="28"/>
          <w:szCs w:val="28"/>
          <w:lang w:eastAsia="ro-RO"/>
        </w:rPr>
        <w:tab/>
        <w:t>luând act de:</w:t>
      </w:r>
    </w:p>
    <w:p w14:paraId="47CA2A57" w14:textId="77777777" w:rsidR="00BB44C0" w:rsidRPr="00767ED0" w:rsidRDefault="00BB44C0" w:rsidP="00BB44C0">
      <w:pPr>
        <w:pStyle w:val="ListParagraph"/>
        <w:numPr>
          <w:ilvl w:val="0"/>
          <w:numId w:val="3"/>
        </w:numPr>
        <w:tabs>
          <w:tab w:val="left" w:pos="1276"/>
        </w:tabs>
        <w:spacing w:after="0"/>
        <w:ind w:left="0" w:firstLine="851"/>
        <w:jc w:val="both"/>
        <w:rPr>
          <w:rFonts w:eastAsia="Times New Roman"/>
          <w:sz w:val="28"/>
          <w:szCs w:val="28"/>
          <w:lang w:eastAsia="ro-RO"/>
        </w:rPr>
      </w:pPr>
      <w:r w:rsidRPr="00767ED0">
        <w:rPr>
          <w:rFonts w:eastAsia="Times New Roman"/>
          <w:color w:val="000000"/>
          <w:sz w:val="28"/>
          <w:szCs w:val="28"/>
          <w:lang w:eastAsia="ro-RO"/>
        </w:rPr>
        <w:t xml:space="preserve">referatul de aprobare prezentat de către primarul Comunei Acățari, în calitatea sa de inițiator, înregistrat cu nr. 2017/ 2024, prin care se susține necesitatea și oportunitatea proiectului, </w:t>
      </w:r>
      <w:r w:rsidRPr="00767ED0">
        <w:rPr>
          <w:rFonts w:eastAsia="Times New Roman"/>
          <w:sz w:val="28"/>
          <w:szCs w:val="28"/>
          <w:lang w:eastAsia="ro-RO"/>
        </w:rPr>
        <w:t>constituind un aport pentru dezvoltarea colectivității;</w:t>
      </w:r>
    </w:p>
    <w:p w14:paraId="31C72CF0" w14:textId="77777777" w:rsidR="00BB44C0" w:rsidRPr="00767ED0" w:rsidRDefault="00BB44C0" w:rsidP="00BB44C0">
      <w:pPr>
        <w:pStyle w:val="ListParagraph"/>
        <w:numPr>
          <w:ilvl w:val="0"/>
          <w:numId w:val="3"/>
        </w:numPr>
        <w:tabs>
          <w:tab w:val="left" w:pos="1276"/>
        </w:tabs>
        <w:spacing w:after="0"/>
        <w:ind w:left="0" w:firstLine="851"/>
        <w:jc w:val="both"/>
        <w:rPr>
          <w:rFonts w:eastAsia="Arial"/>
          <w:sz w:val="28"/>
          <w:szCs w:val="28"/>
          <w:lang w:eastAsia="ro-RO"/>
        </w:rPr>
      </w:pPr>
      <w:r w:rsidRPr="00767ED0">
        <w:rPr>
          <w:rFonts w:eastAsia="Times New Roman"/>
          <w:sz w:val="28"/>
          <w:szCs w:val="28"/>
          <w:lang w:eastAsia="ro-RO"/>
        </w:rPr>
        <w:t>raportul compartimentului de resort din cadrul aparatului de specialitate al primarului, înregistrat cu nr. 2025/2024, prin care se motivează, în drept și în fapt,  necesitatea și oportunitatea participării la Program;</w:t>
      </w:r>
    </w:p>
    <w:p w14:paraId="63175B1A" w14:textId="54DF0C82" w:rsidR="00BB44C0" w:rsidRDefault="00BB44C0" w:rsidP="008E3C81">
      <w:pPr>
        <w:pStyle w:val="ListParagraph"/>
        <w:numPr>
          <w:ilvl w:val="0"/>
          <w:numId w:val="3"/>
        </w:numPr>
        <w:tabs>
          <w:tab w:val="left" w:pos="1276"/>
        </w:tabs>
        <w:spacing w:after="0"/>
        <w:ind w:left="0" w:firstLine="851"/>
        <w:jc w:val="both"/>
        <w:rPr>
          <w:rFonts w:eastAsia="Times New Roman"/>
          <w:sz w:val="28"/>
          <w:szCs w:val="28"/>
          <w:lang w:eastAsia="ro-RO"/>
        </w:rPr>
      </w:pPr>
      <w:r w:rsidRPr="00767ED0">
        <w:rPr>
          <w:rFonts w:eastAsia="Times New Roman"/>
          <w:sz w:val="28"/>
          <w:szCs w:val="28"/>
          <w:lang w:eastAsia="ro-RO"/>
        </w:rPr>
        <w:t>raportul comisiei de specialitate a Consiliului Local Acățari</w:t>
      </w:r>
      <w:r w:rsidR="008E3C81">
        <w:rPr>
          <w:rFonts w:eastAsia="Times New Roman"/>
          <w:sz w:val="28"/>
          <w:szCs w:val="28"/>
          <w:lang w:eastAsia="ro-RO"/>
        </w:rPr>
        <w:t>;</w:t>
      </w:r>
    </w:p>
    <w:p w14:paraId="3D4BF91F" w14:textId="77777777" w:rsidR="008E3C81" w:rsidRDefault="008E3C81" w:rsidP="008E3C81">
      <w:pPr>
        <w:pStyle w:val="ListParagraph"/>
        <w:tabs>
          <w:tab w:val="left" w:pos="1276"/>
        </w:tabs>
        <w:spacing w:after="0"/>
        <w:ind w:left="851"/>
        <w:jc w:val="both"/>
        <w:rPr>
          <w:rFonts w:eastAsia="Times New Roman"/>
          <w:sz w:val="28"/>
          <w:szCs w:val="28"/>
          <w:lang w:eastAsia="ro-RO"/>
        </w:rPr>
      </w:pPr>
    </w:p>
    <w:p w14:paraId="0873931A" w14:textId="77777777" w:rsidR="008E3C81" w:rsidRPr="008E3C81" w:rsidRDefault="008E3C81" w:rsidP="008E3C81">
      <w:pPr>
        <w:pStyle w:val="ListParagraph"/>
        <w:tabs>
          <w:tab w:val="left" w:pos="1276"/>
        </w:tabs>
        <w:spacing w:after="0"/>
        <w:ind w:left="851"/>
        <w:jc w:val="both"/>
        <w:rPr>
          <w:rFonts w:eastAsia="Times New Roman"/>
          <w:sz w:val="28"/>
          <w:szCs w:val="28"/>
          <w:lang w:eastAsia="ro-RO"/>
        </w:rPr>
      </w:pPr>
    </w:p>
    <w:p w14:paraId="120EDFAC" w14:textId="77777777" w:rsidR="00BB44C0" w:rsidRPr="00767ED0" w:rsidRDefault="00BB44C0" w:rsidP="00BB44C0">
      <w:pPr>
        <w:spacing w:after="0"/>
        <w:ind w:firstLine="851"/>
        <w:jc w:val="center"/>
        <w:rPr>
          <w:rFonts w:eastAsia="Times New Roman"/>
          <w:sz w:val="28"/>
          <w:szCs w:val="28"/>
          <w:lang w:eastAsia="ro-RO"/>
        </w:rPr>
      </w:pPr>
      <w:r w:rsidRPr="00767ED0">
        <w:rPr>
          <w:rFonts w:eastAsia="Times New Roman"/>
          <w:b/>
          <w:bCs/>
          <w:sz w:val="28"/>
          <w:szCs w:val="28"/>
          <w:lang w:eastAsia="ro-RO"/>
        </w:rPr>
        <w:t>Consiliul Local al Comunei Acățari adoptă prezenta hotărâre</w:t>
      </w:r>
      <w:r w:rsidRPr="00767ED0">
        <w:rPr>
          <w:rFonts w:eastAsia="Times New Roman"/>
          <w:sz w:val="28"/>
          <w:szCs w:val="28"/>
          <w:lang w:eastAsia="ro-RO"/>
        </w:rPr>
        <w:t>.</w:t>
      </w:r>
    </w:p>
    <w:p w14:paraId="5FA77A30" w14:textId="77777777" w:rsidR="00BB44C0" w:rsidRPr="00767ED0" w:rsidRDefault="00BB44C0" w:rsidP="00BB44C0">
      <w:pPr>
        <w:spacing w:after="0"/>
        <w:ind w:firstLine="851"/>
        <w:jc w:val="both"/>
        <w:rPr>
          <w:rFonts w:eastAsia="Times New Roman"/>
          <w:b/>
          <w:sz w:val="28"/>
          <w:szCs w:val="28"/>
          <w:lang w:eastAsia="ro-RO"/>
        </w:rPr>
      </w:pPr>
    </w:p>
    <w:p w14:paraId="37075FD3" w14:textId="77777777" w:rsidR="00BB44C0" w:rsidRPr="00767ED0" w:rsidRDefault="00BB44C0" w:rsidP="00BB44C0">
      <w:pPr>
        <w:spacing w:after="0"/>
        <w:ind w:firstLine="851"/>
        <w:jc w:val="both"/>
        <w:rPr>
          <w:rFonts w:eastAsia="Times New Roman"/>
          <w:b/>
          <w:sz w:val="28"/>
          <w:szCs w:val="28"/>
          <w:lang w:eastAsia="ro-RO"/>
        </w:rPr>
      </w:pPr>
    </w:p>
    <w:p w14:paraId="1ACD44E8" w14:textId="22066A01" w:rsidR="00BB44C0" w:rsidRPr="00767ED0" w:rsidRDefault="00BB44C0" w:rsidP="00BB44C0">
      <w:pPr>
        <w:suppressAutoHyphens w:val="0"/>
        <w:autoSpaceDE w:val="0"/>
        <w:autoSpaceDN w:val="0"/>
        <w:adjustRightInd w:val="0"/>
        <w:spacing w:after="0"/>
        <w:jc w:val="both"/>
        <w:rPr>
          <w:rFonts w:eastAsia="Times New Roman"/>
          <w:sz w:val="28"/>
          <w:szCs w:val="28"/>
          <w:lang w:eastAsia="ro-RO"/>
        </w:rPr>
      </w:pPr>
      <w:bookmarkStart w:id="2" w:name="ref%2523A1"/>
      <w:bookmarkStart w:id="3" w:name="ref%2523A4"/>
      <w:bookmarkEnd w:id="2"/>
      <w:bookmarkEnd w:id="3"/>
      <w:r w:rsidRPr="00767ED0">
        <w:rPr>
          <w:rFonts w:eastAsia="Times New Roman"/>
          <w:b/>
          <w:bCs/>
          <w:sz w:val="28"/>
          <w:szCs w:val="28"/>
          <w:lang w:eastAsia="ro-RO"/>
        </w:rPr>
        <w:tab/>
        <w:t xml:space="preserve">Art. 1. - </w:t>
      </w:r>
      <w:r w:rsidRPr="00767ED0">
        <w:rPr>
          <w:rFonts w:eastAsia="Times New Roman"/>
          <w:sz w:val="28"/>
          <w:szCs w:val="28"/>
          <w:lang w:eastAsia="ro-RO"/>
        </w:rPr>
        <w:t xml:space="preserve">Se aprobă participarea Comunei Acățari la </w:t>
      </w:r>
      <w:r w:rsidRPr="00767ED0">
        <w:rPr>
          <w:rFonts w:eastAsia="Times New Roman"/>
          <w:b/>
          <w:bCs/>
          <w:sz w:val="28"/>
          <w:szCs w:val="28"/>
          <w:lang w:eastAsia="ro-RO"/>
        </w:rPr>
        <w:t xml:space="preserve">Programul vizând sisteme de alimentare cu apă, canalizare și epurare a apelor uzate cu proiectul ”CANALIZARE MENAJERĂ ÎN SATELE GRUIȘOR și STEJERIȘ COMUNA ACĂȚARI JUDEȚUL MUREȘ”, </w:t>
      </w:r>
      <w:r w:rsidRPr="00767ED0">
        <w:rPr>
          <w:rFonts w:eastAsia="Times New Roman"/>
          <w:sz w:val="28"/>
          <w:szCs w:val="28"/>
          <w:lang w:eastAsia="ro-RO"/>
        </w:rPr>
        <w:t>finanțat din Fondul pentru mediu.</w:t>
      </w:r>
    </w:p>
    <w:p w14:paraId="4FD92CE1" w14:textId="73941830" w:rsidR="00BB44C0" w:rsidRPr="00767ED0" w:rsidRDefault="00BB44C0" w:rsidP="00BB44C0">
      <w:pPr>
        <w:spacing w:after="0"/>
        <w:ind w:firstLine="851"/>
        <w:jc w:val="both"/>
        <w:rPr>
          <w:sz w:val="28"/>
          <w:szCs w:val="28"/>
        </w:rPr>
      </w:pPr>
      <w:r w:rsidRPr="00767ED0">
        <w:rPr>
          <w:rFonts w:eastAsia="Times New Roman"/>
          <w:b/>
          <w:bCs/>
          <w:sz w:val="28"/>
          <w:szCs w:val="28"/>
          <w:lang w:eastAsia="ro-RO"/>
        </w:rPr>
        <w:t xml:space="preserve">Art. 2. - </w:t>
      </w:r>
      <w:r w:rsidRPr="00767ED0">
        <w:rPr>
          <w:rFonts w:eastAsia="Times New Roman"/>
          <w:bCs/>
          <w:sz w:val="28"/>
          <w:szCs w:val="28"/>
          <w:lang w:eastAsia="ro-RO"/>
        </w:rPr>
        <w:t xml:space="preserve">Se aprobă </w:t>
      </w:r>
      <w:r w:rsidRPr="00767ED0">
        <w:rPr>
          <w:sz w:val="28"/>
          <w:szCs w:val="28"/>
        </w:rPr>
        <w:t>asigurarea și susținerea, din surse proprii, a cheltuielilor care nu sunt acoperite prin finanțarea acordată de AFM.</w:t>
      </w:r>
    </w:p>
    <w:p w14:paraId="599BA135" w14:textId="77777777" w:rsidR="00BB44C0" w:rsidRPr="00767ED0" w:rsidRDefault="00BB44C0" w:rsidP="00BB44C0">
      <w:pPr>
        <w:spacing w:after="0"/>
        <w:ind w:firstLine="851"/>
        <w:jc w:val="both"/>
        <w:rPr>
          <w:rFonts w:eastAsia="Times New Roman"/>
          <w:bCs/>
          <w:sz w:val="28"/>
          <w:szCs w:val="28"/>
          <w:lang w:eastAsia="ro-RO"/>
        </w:rPr>
      </w:pPr>
      <w:r w:rsidRPr="00767ED0">
        <w:rPr>
          <w:rFonts w:eastAsia="Times New Roman"/>
          <w:b/>
          <w:bCs/>
          <w:sz w:val="28"/>
          <w:szCs w:val="28"/>
          <w:lang w:eastAsia="ro-RO"/>
        </w:rPr>
        <w:t>Art. 3. -</w:t>
      </w:r>
      <w:r w:rsidRPr="00767ED0">
        <w:rPr>
          <w:rFonts w:eastAsia="Times New Roman"/>
          <w:bCs/>
          <w:sz w:val="28"/>
          <w:szCs w:val="28"/>
          <w:lang w:eastAsia="ro-RO"/>
        </w:rPr>
        <w:t xml:space="preserve"> Se aprobă asigurarea și </w:t>
      </w:r>
      <w:r w:rsidRPr="00767ED0">
        <w:rPr>
          <w:sz w:val="28"/>
          <w:szCs w:val="28"/>
        </w:rPr>
        <w:t>susținerea tuturor cheltuielilor neeligibile ale obiectivului</w:t>
      </w:r>
      <w:r w:rsidRPr="00767ED0">
        <w:rPr>
          <w:rFonts w:eastAsia="Times New Roman"/>
          <w:bCs/>
          <w:sz w:val="28"/>
          <w:szCs w:val="28"/>
          <w:lang w:eastAsia="ro-RO"/>
        </w:rPr>
        <w:t>.</w:t>
      </w:r>
    </w:p>
    <w:p w14:paraId="4284568E" w14:textId="77777777" w:rsidR="00BB44C0" w:rsidRPr="00767ED0" w:rsidRDefault="00BB44C0" w:rsidP="00BB44C0">
      <w:pPr>
        <w:spacing w:after="0"/>
        <w:ind w:firstLine="851"/>
        <w:jc w:val="both"/>
        <w:rPr>
          <w:rFonts w:eastAsia="Times New Roman"/>
          <w:bCs/>
          <w:sz w:val="28"/>
          <w:szCs w:val="28"/>
          <w:lang w:eastAsia="ro-RO"/>
        </w:rPr>
      </w:pPr>
      <w:r w:rsidRPr="00767ED0">
        <w:rPr>
          <w:rFonts w:eastAsia="Times New Roman"/>
          <w:b/>
          <w:bCs/>
          <w:sz w:val="28"/>
          <w:szCs w:val="28"/>
          <w:lang w:eastAsia="ro-RO"/>
        </w:rPr>
        <w:t xml:space="preserve">Art. 4. - </w:t>
      </w:r>
      <w:r w:rsidRPr="00767ED0">
        <w:rPr>
          <w:rFonts w:eastAsia="Times New Roman"/>
          <w:bCs/>
          <w:sz w:val="28"/>
          <w:szCs w:val="28"/>
          <w:lang w:eastAsia="ro-RO"/>
        </w:rPr>
        <w:t xml:space="preserve">Se aprobă contractarea finanțării, în cazul aprobării proiectului, și împuternicirea domnului </w:t>
      </w:r>
      <w:r w:rsidRPr="00767ED0">
        <w:rPr>
          <w:rFonts w:eastAsia="Times New Roman"/>
          <w:b/>
          <w:bCs/>
          <w:sz w:val="28"/>
          <w:szCs w:val="28"/>
          <w:lang w:eastAsia="ro-RO"/>
        </w:rPr>
        <w:t>Osváth Csaba</w:t>
      </w:r>
      <w:r w:rsidRPr="00767ED0">
        <w:rPr>
          <w:rFonts w:eastAsia="Times New Roman"/>
          <w:bCs/>
          <w:sz w:val="28"/>
          <w:szCs w:val="28"/>
          <w:lang w:eastAsia="ro-RO"/>
        </w:rPr>
        <w:t>, în calitate de primar, reprezentantul legal al comunei, potrivit legii, să reprezinte Comuna Acățari în relația cu Autoritatea (AFM).</w:t>
      </w:r>
    </w:p>
    <w:p w14:paraId="69F9596E" w14:textId="77777777" w:rsidR="00BB44C0" w:rsidRPr="00767ED0" w:rsidRDefault="00BB44C0" w:rsidP="00BB44C0">
      <w:pPr>
        <w:spacing w:after="0"/>
        <w:ind w:firstLine="851"/>
        <w:jc w:val="both"/>
        <w:rPr>
          <w:rFonts w:eastAsia="Times New Roman"/>
          <w:bCs/>
          <w:sz w:val="28"/>
          <w:szCs w:val="28"/>
          <w:lang w:eastAsia="ro-RO"/>
        </w:rPr>
      </w:pPr>
      <w:r w:rsidRPr="00767ED0">
        <w:rPr>
          <w:rFonts w:eastAsia="Times New Roman"/>
          <w:b/>
          <w:bCs/>
          <w:sz w:val="28"/>
          <w:szCs w:val="28"/>
          <w:lang w:eastAsia="ro-RO"/>
        </w:rPr>
        <w:t xml:space="preserve">Art. 5. - </w:t>
      </w:r>
      <w:r w:rsidRPr="00767ED0">
        <w:rPr>
          <w:rFonts w:eastAsia="Times New Roman"/>
          <w:bCs/>
          <w:sz w:val="28"/>
          <w:szCs w:val="28"/>
          <w:lang w:eastAsia="ro-RO"/>
        </w:rPr>
        <w:t>A</w:t>
      </w:r>
      <w:r w:rsidRPr="00767ED0">
        <w:rPr>
          <w:rFonts w:eastAsia="Times New Roman"/>
          <w:sz w:val="28"/>
          <w:szCs w:val="28"/>
          <w:lang w:eastAsia="ro-RO"/>
        </w:rPr>
        <w:t>ducerea la îndeplinire a prezentei hotărâri se asigură de către primarul Comunei Acățari.</w:t>
      </w:r>
    </w:p>
    <w:p w14:paraId="1DE8B49E" w14:textId="77777777" w:rsidR="00BB44C0" w:rsidRPr="00767ED0" w:rsidRDefault="00BB44C0" w:rsidP="00BB44C0">
      <w:pPr>
        <w:spacing w:after="0"/>
        <w:ind w:firstLine="851"/>
        <w:jc w:val="both"/>
        <w:rPr>
          <w:rFonts w:eastAsia="Times New Roman"/>
          <w:sz w:val="28"/>
          <w:szCs w:val="28"/>
          <w:lang w:eastAsia="ro-RO"/>
        </w:rPr>
      </w:pPr>
      <w:bookmarkStart w:id="4" w:name="tree%252374"/>
      <w:bookmarkStart w:id="5" w:name="ref%2523A5"/>
      <w:bookmarkEnd w:id="4"/>
      <w:bookmarkEnd w:id="5"/>
      <w:r w:rsidRPr="00767ED0">
        <w:rPr>
          <w:rFonts w:eastAsia="Times New Roman"/>
          <w:b/>
          <w:bCs/>
          <w:sz w:val="28"/>
          <w:szCs w:val="28"/>
          <w:lang w:eastAsia="ro-RO"/>
        </w:rPr>
        <w:t>Art. 6. -</w:t>
      </w:r>
      <w:r w:rsidRPr="00767ED0">
        <w:rPr>
          <w:rFonts w:eastAsia="Times New Roman"/>
          <w:bCs/>
          <w:sz w:val="28"/>
          <w:szCs w:val="28"/>
          <w:lang w:eastAsia="ro-RO"/>
        </w:rPr>
        <w:t xml:space="preserve"> P</w:t>
      </w:r>
      <w:r w:rsidRPr="00767ED0">
        <w:rPr>
          <w:rFonts w:eastAsia="Times New Roman"/>
          <w:sz w:val="28"/>
          <w:szCs w:val="28"/>
          <w:lang w:eastAsia="ro-RO"/>
        </w:rPr>
        <w:t>rezenta hotărâre se comunică, prin intermediul secretarului Comunei Acățari, în termenul prevăzut de lege, primarului Comunei Acățari și prefectului județului Mureş și se aduce la cunoștință publică prin afișarea la sediul primăriei, precum și pe pagina de internet a comunei.</w:t>
      </w:r>
    </w:p>
    <w:p w14:paraId="0365DB35" w14:textId="77777777" w:rsidR="00BB44C0" w:rsidRPr="00767ED0" w:rsidRDefault="00BB44C0" w:rsidP="00BB44C0">
      <w:pPr>
        <w:spacing w:after="0"/>
        <w:jc w:val="both"/>
        <w:rPr>
          <w:sz w:val="28"/>
          <w:szCs w:val="28"/>
        </w:rPr>
      </w:pPr>
    </w:p>
    <w:p w14:paraId="75973081" w14:textId="77777777" w:rsidR="00BB44C0" w:rsidRPr="00767ED0" w:rsidRDefault="00BB44C0" w:rsidP="00BB44C0">
      <w:pPr>
        <w:spacing w:after="0"/>
        <w:jc w:val="both"/>
        <w:rPr>
          <w:sz w:val="28"/>
          <w:szCs w:val="28"/>
        </w:rPr>
      </w:pPr>
    </w:p>
    <w:p w14:paraId="1EC4143F" w14:textId="77777777" w:rsidR="00767ED0" w:rsidRPr="00767ED0" w:rsidRDefault="00767ED0" w:rsidP="00BB44C0">
      <w:pPr>
        <w:spacing w:after="0"/>
        <w:jc w:val="both"/>
        <w:rPr>
          <w:sz w:val="28"/>
          <w:szCs w:val="28"/>
        </w:rPr>
      </w:pPr>
    </w:p>
    <w:p w14:paraId="5660DA06" w14:textId="77777777" w:rsidR="00767ED0" w:rsidRPr="00767ED0" w:rsidRDefault="00767ED0" w:rsidP="00767ED0">
      <w:pPr>
        <w:pStyle w:val="NoSpacing"/>
        <w:ind w:left="360" w:firstLine="720"/>
        <w:rPr>
          <w:rFonts w:ascii="Arial" w:hAnsi="Arial" w:cs="Arial"/>
          <w:sz w:val="28"/>
          <w:szCs w:val="28"/>
          <w:lang w:val="pt-BR"/>
        </w:rPr>
      </w:pPr>
      <w:r w:rsidRPr="00767ED0">
        <w:rPr>
          <w:rFonts w:ascii="Arial" w:hAnsi="Arial" w:cs="Arial"/>
          <w:sz w:val="28"/>
          <w:szCs w:val="28"/>
        </w:rPr>
        <w:tab/>
      </w:r>
      <w:r w:rsidRPr="00767ED0">
        <w:rPr>
          <w:rFonts w:ascii="Arial" w:hAnsi="Arial" w:cs="Arial"/>
          <w:sz w:val="28"/>
          <w:szCs w:val="28"/>
          <w:lang w:val="pt-BR"/>
        </w:rPr>
        <w:t>Preşedinte de şedinţă,</w:t>
      </w:r>
    </w:p>
    <w:p w14:paraId="5C9902CD" w14:textId="170106C0" w:rsidR="00767ED0" w:rsidRPr="00767ED0" w:rsidRDefault="00767ED0" w:rsidP="00767ED0">
      <w:pPr>
        <w:pStyle w:val="NoSpacing"/>
        <w:rPr>
          <w:rFonts w:ascii="Arial" w:hAnsi="Arial" w:cs="Arial"/>
          <w:sz w:val="28"/>
          <w:szCs w:val="28"/>
          <w:lang w:val="pt-BR"/>
        </w:rPr>
      </w:pPr>
      <w:r w:rsidRPr="00767ED0">
        <w:rPr>
          <w:rFonts w:ascii="Arial" w:hAnsi="Arial" w:cs="Arial"/>
          <w:sz w:val="28"/>
          <w:szCs w:val="28"/>
          <w:lang w:val="pt-BR"/>
        </w:rPr>
        <w:t xml:space="preserve">              </w:t>
      </w:r>
      <w:r>
        <w:rPr>
          <w:rFonts w:ascii="Arial" w:hAnsi="Arial" w:cs="Arial"/>
          <w:sz w:val="28"/>
          <w:szCs w:val="28"/>
          <w:lang w:val="pt-BR"/>
        </w:rPr>
        <w:t xml:space="preserve">  </w:t>
      </w:r>
      <w:r w:rsidRPr="00767ED0">
        <w:rPr>
          <w:rFonts w:ascii="Arial" w:hAnsi="Arial" w:cs="Arial"/>
          <w:sz w:val="28"/>
          <w:szCs w:val="28"/>
          <w:lang w:val="pt-BR"/>
        </w:rPr>
        <w:t xml:space="preserve">    Veres Gaspar-Ervin</w:t>
      </w:r>
      <w:r w:rsidRPr="00767ED0">
        <w:rPr>
          <w:rFonts w:ascii="Arial" w:hAnsi="Arial" w:cs="Arial"/>
          <w:sz w:val="28"/>
          <w:szCs w:val="28"/>
          <w:lang w:val="pt-BR"/>
        </w:rPr>
        <w:tab/>
      </w:r>
      <w:r w:rsidRPr="00767ED0">
        <w:rPr>
          <w:rFonts w:ascii="Arial" w:hAnsi="Arial" w:cs="Arial"/>
          <w:sz w:val="28"/>
          <w:szCs w:val="28"/>
          <w:lang w:val="pt-BR"/>
        </w:rPr>
        <w:tab/>
      </w:r>
      <w:r w:rsidRPr="00767ED0">
        <w:rPr>
          <w:rFonts w:ascii="Arial" w:hAnsi="Arial" w:cs="Arial"/>
          <w:sz w:val="28"/>
          <w:szCs w:val="28"/>
          <w:lang w:val="pt-BR"/>
        </w:rPr>
        <w:tab/>
      </w:r>
    </w:p>
    <w:p w14:paraId="750D5E84" w14:textId="77777777" w:rsidR="00767ED0" w:rsidRPr="00767ED0" w:rsidRDefault="00767ED0" w:rsidP="00767ED0">
      <w:pPr>
        <w:pStyle w:val="NoSpacing"/>
        <w:ind w:left="5760" w:firstLine="720"/>
        <w:rPr>
          <w:rFonts w:ascii="Arial" w:hAnsi="Arial" w:cs="Arial"/>
          <w:sz w:val="28"/>
          <w:szCs w:val="28"/>
          <w:lang w:val="pt-BR"/>
        </w:rPr>
      </w:pPr>
      <w:r w:rsidRPr="00767ED0">
        <w:rPr>
          <w:rFonts w:ascii="Arial" w:hAnsi="Arial" w:cs="Arial"/>
          <w:sz w:val="28"/>
          <w:szCs w:val="28"/>
          <w:lang w:val="pt-BR"/>
        </w:rPr>
        <w:t>Contrasemnează,</w:t>
      </w:r>
    </w:p>
    <w:p w14:paraId="1CEFEB50" w14:textId="77777777" w:rsidR="00767ED0" w:rsidRPr="00767ED0" w:rsidRDefault="00767ED0" w:rsidP="00767ED0">
      <w:pPr>
        <w:pStyle w:val="NoSpacing"/>
        <w:ind w:left="1080"/>
        <w:rPr>
          <w:rFonts w:ascii="Arial" w:hAnsi="Arial" w:cs="Arial"/>
          <w:sz w:val="28"/>
          <w:szCs w:val="28"/>
          <w:lang w:val="pt-BR"/>
        </w:rPr>
      </w:pPr>
      <w:r w:rsidRPr="00767ED0">
        <w:rPr>
          <w:rFonts w:ascii="Arial" w:hAnsi="Arial" w:cs="Arial"/>
          <w:sz w:val="28"/>
          <w:szCs w:val="28"/>
          <w:lang w:val="pt-BR"/>
        </w:rPr>
        <w:tab/>
      </w:r>
      <w:r w:rsidRPr="00767ED0">
        <w:rPr>
          <w:rFonts w:ascii="Arial" w:hAnsi="Arial" w:cs="Arial"/>
          <w:sz w:val="28"/>
          <w:szCs w:val="28"/>
          <w:lang w:val="pt-BR"/>
        </w:rPr>
        <w:tab/>
      </w:r>
      <w:r w:rsidRPr="00767ED0">
        <w:rPr>
          <w:rFonts w:ascii="Arial" w:hAnsi="Arial" w:cs="Arial"/>
          <w:sz w:val="28"/>
          <w:szCs w:val="28"/>
          <w:lang w:val="pt-BR"/>
        </w:rPr>
        <w:tab/>
      </w:r>
      <w:r w:rsidRPr="00767ED0">
        <w:rPr>
          <w:rFonts w:ascii="Arial" w:hAnsi="Arial" w:cs="Arial"/>
          <w:sz w:val="28"/>
          <w:szCs w:val="28"/>
          <w:lang w:val="pt-BR"/>
        </w:rPr>
        <w:tab/>
      </w:r>
      <w:r w:rsidRPr="00767ED0">
        <w:rPr>
          <w:rFonts w:ascii="Arial" w:hAnsi="Arial" w:cs="Arial"/>
          <w:sz w:val="28"/>
          <w:szCs w:val="28"/>
          <w:lang w:val="pt-BR"/>
        </w:rPr>
        <w:tab/>
      </w:r>
      <w:r w:rsidRPr="00767ED0">
        <w:rPr>
          <w:rFonts w:ascii="Arial" w:hAnsi="Arial" w:cs="Arial"/>
          <w:sz w:val="28"/>
          <w:szCs w:val="28"/>
          <w:lang w:val="pt-BR"/>
        </w:rPr>
        <w:tab/>
      </w:r>
      <w:r w:rsidRPr="00767ED0">
        <w:rPr>
          <w:rFonts w:ascii="Arial" w:hAnsi="Arial" w:cs="Arial"/>
          <w:sz w:val="28"/>
          <w:szCs w:val="28"/>
          <w:lang w:val="pt-BR"/>
        </w:rPr>
        <w:tab/>
      </w:r>
      <w:r w:rsidRPr="00767ED0">
        <w:rPr>
          <w:rFonts w:ascii="Arial" w:hAnsi="Arial" w:cs="Arial"/>
          <w:sz w:val="28"/>
          <w:szCs w:val="28"/>
          <w:lang w:val="pt-BR"/>
        </w:rPr>
        <w:tab/>
        <w:t xml:space="preserve">  Secretar general,</w:t>
      </w:r>
    </w:p>
    <w:p w14:paraId="3B230B31" w14:textId="77777777" w:rsidR="00767ED0" w:rsidRPr="00767ED0" w:rsidRDefault="00767ED0" w:rsidP="00767ED0">
      <w:pPr>
        <w:rPr>
          <w:sz w:val="28"/>
          <w:szCs w:val="28"/>
          <w:lang w:val="pt-BR"/>
        </w:rPr>
      </w:pPr>
      <w:r w:rsidRPr="00767ED0">
        <w:rPr>
          <w:sz w:val="28"/>
          <w:szCs w:val="28"/>
          <w:lang w:val="pt-BR"/>
        </w:rPr>
        <w:tab/>
      </w:r>
      <w:r w:rsidRPr="00767ED0">
        <w:rPr>
          <w:sz w:val="28"/>
          <w:szCs w:val="28"/>
          <w:lang w:val="pt-BR"/>
        </w:rPr>
        <w:tab/>
      </w:r>
      <w:r w:rsidRPr="00767ED0">
        <w:rPr>
          <w:sz w:val="28"/>
          <w:szCs w:val="28"/>
          <w:lang w:val="pt-BR"/>
        </w:rPr>
        <w:tab/>
      </w:r>
      <w:r w:rsidRPr="00767ED0">
        <w:rPr>
          <w:sz w:val="28"/>
          <w:szCs w:val="28"/>
          <w:lang w:val="pt-BR"/>
        </w:rPr>
        <w:tab/>
      </w:r>
      <w:r w:rsidRPr="00767ED0">
        <w:rPr>
          <w:sz w:val="28"/>
          <w:szCs w:val="28"/>
          <w:lang w:val="pt-BR"/>
        </w:rPr>
        <w:tab/>
      </w:r>
      <w:r w:rsidRPr="00767ED0">
        <w:rPr>
          <w:sz w:val="28"/>
          <w:szCs w:val="28"/>
          <w:lang w:val="pt-BR"/>
        </w:rPr>
        <w:tab/>
      </w:r>
      <w:r w:rsidRPr="00767ED0">
        <w:rPr>
          <w:sz w:val="28"/>
          <w:szCs w:val="28"/>
          <w:lang w:val="pt-BR"/>
        </w:rPr>
        <w:tab/>
      </w:r>
      <w:r w:rsidRPr="00767ED0">
        <w:rPr>
          <w:sz w:val="28"/>
          <w:szCs w:val="28"/>
          <w:lang w:val="pt-BR"/>
        </w:rPr>
        <w:tab/>
      </w:r>
      <w:r w:rsidRPr="00767ED0">
        <w:rPr>
          <w:sz w:val="28"/>
          <w:szCs w:val="28"/>
          <w:lang w:val="pt-BR"/>
        </w:rPr>
        <w:tab/>
        <w:t xml:space="preserve">    Jozsa Ferenc</w:t>
      </w:r>
    </w:p>
    <w:p w14:paraId="14ADED02" w14:textId="4A713A4E" w:rsidR="00767ED0" w:rsidRPr="00767ED0" w:rsidRDefault="00767ED0" w:rsidP="00BB44C0">
      <w:pPr>
        <w:spacing w:after="0"/>
        <w:jc w:val="both"/>
        <w:rPr>
          <w:sz w:val="28"/>
          <w:szCs w:val="28"/>
        </w:rPr>
      </w:pPr>
    </w:p>
    <w:p w14:paraId="24B80464" w14:textId="77777777" w:rsidR="00BB44C0" w:rsidRPr="00767ED0" w:rsidRDefault="00BB44C0" w:rsidP="00BB44C0">
      <w:pPr>
        <w:rPr>
          <w:sz w:val="28"/>
          <w:szCs w:val="28"/>
        </w:rPr>
      </w:pPr>
    </w:p>
    <w:p w14:paraId="428D405A" w14:textId="77777777" w:rsidR="00BB44C0" w:rsidRPr="00767ED0" w:rsidRDefault="00BB44C0" w:rsidP="00BB44C0">
      <w:pPr>
        <w:rPr>
          <w:sz w:val="28"/>
          <w:szCs w:val="28"/>
        </w:rPr>
      </w:pPr>
    </w:p>
    <w:p w14:paraId="3FEA963C" w14:textId="77777777" w:rsidR="00BB44C0" w:rsidRPr="00767ED0" w:rsidRDefault="00BB44C0" w:rsidP="00BB44C0">
      <w:pPr>
        <w:rPr>
          <w:sz w:val="28"/>
          <w:szCs w:val="28"/>
        </w:rPr>
      </w:pPr>
    </w:p>
    <w:p w14:paraId="259257F6" w14:textId="77777777" w:rsidR="00BB44C0" w:rsidRPr="00767ED0" w:rsidRDefault="00BB44C0" w:rsidP="00BB44C0">
      <w:pPr>
        <w:rPr>
          <w:sz w:val="28"/>
          <w:szCs w:val="28"/>
        </w:rPr>
      </w:pPr>
    </w:p>
    <w:p w14:paraId="7A453BE0" w14:textId="77777777" w:rsidR="00BB44C0" w:rsidRPr="00767ED0" w:rsidRDefault="00BB44C0" w:rsidP="00BB44C0">
      <w:pPr>
        <w:rPr>
          <w:sz w:val="28"/>
          <w:szCs w:val="28"/>
        </w:rPr>
      </w:pPr>
    </w:p>
    <w:p w14:paraId="4D16F377" w14:textId="77777777" w:rsidR="00BB44C0" w:rsidRPr="00767ED0" w:rsidRDefault="00BB44C0" w:rsidP="00BB44C0">
      <w:pPr>
        <w:rPr>
          <w:sz w:val="28"/>
          <w:szCs w:val="28"/>
        </w:rPr>
      </w:pPr>
    </w:p>
    <w:p w14:paraId="0486F613" w14:textId="77777777" w:rsidR="00BB44C0" w:rsidRPr="00767ED0" w:rsidRDefault="00BB44C0" w:rsidP="00BB44C0">
      <w:pPr>
        <w:rPr>
          <w:sz w:val="28"/>
          <w:szCs w:val="28"/>
        </w:rPr>
      </w:pPr>
    </w:p>
    <w:p w14:paraId="489AE236" w14:textId="77777777" w:rsidR="00BB44C0" w:rsidRPr="00767ED0" w:rsidRDefault="00BB44C0" w:rsidP="00BB44C0">
      <w:pPr>
        <w:rPr>
          <w:sz w:val="28"/>
          <w:szCs w:val="28"/>
        </w:rPr>
      </w:pPr>
    </w:p>
    <w:p w14:paraId="27465BDE" w14:textId="77777777" w:rsidR="004F01DE" w:rsidRPr="00767ED0" w:rsidRDefault="004F01DE">
      <w:pPr>
        <w:rPr>
          <w:sz w:val="28"/>
          <w:szCs w:val="28"/>
        </w:rPr>
      </w:pPr>
    </w:p>
    <w:sectPr w:rsidR="004F01DE" w:rsidRPr="00767ED0" w:rsidSect="0014718D">
      <w:pgSz w:w="11906" w:h="16838"/>
      <w:pgMar w:top="284" w:right="566"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BAEAD6"/>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16cid:durableId="1143886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9642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312079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C0"/>
    <w:rsid w:val="0014718D"/>
    <w:rsid w:val="004F01DE"/>
    <w:rsid w:val="00646779"/>
    <w:rsid w:val="00767ED0"/>
    <w:rsid w:val="008E3C81"/>
    <w:rsid w:val="00BB44C0"/>
    <w:rsid w:val="00C44E5A"/>
    <w:rsid w:val="00DB02D6"/>
    <w:rsid w:val="00FC39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E7DA"/>
  <w15:chartTrackingRefBased/>
  <w15:docId w15:val="{97ED3598-C874-4511-A2A3-68690CA0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C0"/>
    <w:pPr>
      <w:suppressAutoHyphens/>
      <w:spacing w:after="200" w:line="276" w:lineRule="auto"/>
    </w:pPr>
    <w:rPr>
      <w:rFonts w:ascii="Arial" w:eastAsia="Calibri" w:hAnsi="Arial" w:cs="Arial"/>
      <w:kern w:val="0"/>
      <w:sz w:val="24"/>
      <w:szCs w:val="24"/>
      <w:lang w:eastAsia="zh-CN"/>
      <w14:ligatures w14:val="none"/>
    </w:rPr>
  </w:style>
  <w:style w:type="paragraph" w:styleId="Heading1">
    <w:name w:val="heading 1"/>
    <w:basedOn w:val="Normal"/>
    <w:next w:val="Normal"/>
    <w:link w:val="Heading1Char"/>
    <w:autoRedefine/>
    <w:qFormat/>
    <w:rsid w:val="00BB44C0"/>
    <w:pPr>
      <w:keepNext/>
      <w:numPr>
        <w:numId w:val="1"/>
      </w:numPr>
      <w:spacing w:after="0" w:line="240" w:lineRule="auto"/>
      <w:jc w:val="center"/>
      <w:outlineLvl w:val="0"/>
    </w:pPr>
    <w:rPr>
      <w:rFonts w:ascii="Times New Roman" w:eastAsiaTheme="majorEastAsia" w:hAnsi="Times New Roman" w:cs="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4C0"/>
    <w:rPr>
      <w:rFonts w:ascii="Times New Roman" w:eastAsiaTheme="majorEastAsia" w:hAnsi="Times New Roman" w:cs="Times New Roman"/>
      <w:b/>
      <w:kern w:val="0"/>
      <w:sz w:val="28"/>
      <w:lang w:eastAsia="zh-CN"/>
      <w14:ligatures w14:val="none"/>
    </w:rPr>
  </w:style>
  <w:style w:type="paragraph" w:styleId="NoSpacing">
    <w:name w:val="No Spacing"/>
    <w:link w:val="NoSpacingChar"/>
    <w:uiPriority w:val="1"/>
    <w:qFormat/>
    <w:rsid w:val="00BB44C0"/>
    <w:pPr>
      <w:spacing w:after="0" w:line="240" w:lineRule="auto"/>
    </w:pPr>
    <w:rPr>
      <w:rFonts w:ascii="Trebuchet MS" w:eastAsia="Times New Roman" w:hAnsi="Trebuchet MS" w:cs="Times New Roman"/>
      <w:kern w:val="0"/>
      <w:sz w:val="20"/>
      <w:szCs w:val="24"/>
      <w14:ligatures w14:val="none"/>
    </w:rPr>
  </w:style>
  <w:style w:type="paragraph" w:styleId="ListParagraph">
    <w:name w:val="List Paragraph"/>
    <w:basedOn w:val="Normal"/>
    <w:qFormat/>
    <w:rsid w:val="00BB44C0"/>
    <w:pPr>
      <w:ind w:left="720"/>
      <w:contextualSpacing/>
    </w:pPr>
  </w:style>
  <w:style w:type="character" w:customStyle="1" w:styleId="NoSpacingChar">
    <w:name w:val="No Spacing Char"/>
    <w:link w:val="NoSpacing"/>
    <w:uiPriority w:val="1"/>
    <w:locked/>
    <w:rsid w:val="00767ED0"/>
    <w:rPr>
      <w:rFonts w:ascii="Trebuchet MS" w:eastAsia="Times New Roman" w:hAnsi="Trebuchet MS" w:cs="Times New Roman"/>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3132</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6</cp:revision>
  <cp:lastPrinted>2024-03-27T09:22:00Z</cp:lastPrinted>
  <dcterms:created xsi:type="dcterms:W3CDTF">2024-03-27T09:02:00Z</dcterms:created>
  <dcterms:modified xsi:type="dcterms:W3CDTF">2024-03-27T09:22:00Z</dcterms:modified>
</cp:coreProperties>
</file>